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BD36C8">
      <w:pPr>
        <w:snapToGrid w:val="0"/>
        <w:spacing w:line="580" w:lineRule="exact"/>
        <w:jc w:val="left"/>
        <w:rPr>
          <w:rFonts w:hint="default" w:ascii="Times New Roman" w:hAnsi="Times New Roman" w:eastAsia="黑体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hint="default" w:ascii="Times New Roman" w:hAnsi="Times New Roman" w:eastAsia="黑体"/>
          <w:sz w:val="32"/>
          <w:szCs w:val="32"/>
        </w:rPr>
        <w:t>6</w:t>
      </w:r>
    </w:p>
    <w:p w14:paraId="7F2DDAC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0"/>
          <w:szCs w:val="40"/>
          <w:lang w:val="en-US" w:eastAsia="zh-CN" w:bidi="ar-SA"/>
        </w:rPr>
      </w:pPr>
    </w:p>
    <w:p w14:paraId="1D6920C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0"/>
          <w:szCs w:val="40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0"/>
          <w:szCs w:val="40"/>
          <w:lang w:val="en-US" w:eastAsia="zh-CN" w:bidi="ar-SA"/>
        </w:rPr>
        <w:t>大规模高比例新能源外送试点申报表</w:t>
      </w:r>
    </w:p>
    <w:p w14:paraId="7799099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kern w:val="0"/>
          <w:sz w:val="32"/>
          <w:szCs w:val="32"/>
          <w:lang w:val="en-US" w:eastAsia="zh-CN" w:bidi="ar-SA"/>
        </w:rPr>
      </w:pPr>
    </w:p>
    <w:tbl>
      <w:tblPr>
        <w:tblStyle w:val="3"/>
        <w:tblW w:w="89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1282"/>
        <w:gridCol w:w="1418"/>
        <w:gridCol w:w="4920"/>
      </w:tblGrid>
      <w:tr w14:paraId="52375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noWrap w:val="0"/>
            <w:vAlign w:val="center"/>
          </w:tcPr>
          <w:p w14:paraId="2B9DBB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620" w:type="dxa"/>
            <w:gridSpan w:val="3"/>
            <w:noWrap w:val="0"/>
            <w:vAlign w:val="top"/>
          </w:tcPr>
          <w:p w14:paraId="7F2728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59368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noWrap w:val="0"/>
            <w:vAlign w:val="center"/>
          </w:tcPr>
          <w:p w14:paraId="4DA188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项目地点</w:t>
            </w:r>
          </w:p>
        </w:tc>
        <w:tc>
          <w:tcPr>
            <w:tcW w:w="7620" w:type="dxa"/>
            <w:gridSpan w:val="3"/>
            <w:noWrap w:val="0"/>
            <w:vAlign w:val="top"/>
          </w:tcPr>
          <w:p w14:paraId="6806C9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72C33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noWrap w:val="0"/>
            <w:vAlign w:val="center"/>
          </w:tcPr>
          <w:p w14:paraId="6FAB71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项目单位</w:t>
            </w:r>
          </w:p>
        </w:tc>
        <w:tc>
          <w:tcPr>
            <w:tcW w:w="7620" w:type="dxa"/>
            <w:gridSpan w:val="3"/>
            <w:noWrap w:val="0"/>
            <w:vAlign w:val="top"/>
          </w:tcPr>
          <w:p w14:paraId="006719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278E5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noWrap w:val="0"/>
            <w:vAlign w:val="center"/>
          </w:tcPr>
          <w:p w14:paraId="1F9BEB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开工时间</w:t>
            </w:r>
          </w:p>
        </w:tc>
        <w:tc>
          <w:tcPr>
            <w:tcW w:w="7620" w:type="dxa"/>
            <w:gridSpan w:val="3"/>
            <w:noWrap w:val="0"/>
            <w:vAlign w:val="top"/>
          </w:tcPr>
          <w:p w14:paraId="77BD6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7DEBF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noWrap w:val="0"/>
            <w:vAlign w:val="center"/>
          </w:tcPr>
          <w:p w14:paraId="37AD9A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预计投运时间</w:t>
            </w:r>
          </w:p>
        </w:tc>
        <w:tc>
          <w:tcPr>
            <w:tcW w:w="7620" w:type="dxa"/>
            <w:gridSpan w:val="3"/>
            <w:noWrap w:val="0"/>
            <w:vAlign w:val="top"/>
          </w:tcPr>
          <w:p w14:paraId="080149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2BF58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noWrap w:val="0"/>
            <w:vAlign w:val="center"/>
          </w:tcPr>
          <w:p w14:paraId="07B3AE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审批情况</w:t>
            </w:r>
          </w:p>
        </w:tc>
        <w:tc>
          <w:tcPr>
            <w:tcW w:w="7620" w:type="dxa"/>
            <w:gridSpan w:val="3"/>
            <w:noWrap w:val="0"/>
            <w:vAlign w:val="center"/>
          </w:tcPr>
          <w:p w14:paraId="10F067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审批/核准/备案/不涉及</w:t>
            </w:r>
          </w:p>
        </w:tc>
      </w:tr>
      <w:tr w14:paraId="7981D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noWrap w:val="0"/>
            <w:vAlign w:val="center"/>
          </w:tcPr>
          <w:p w14:paraId="6B3AD1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项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目总投资</w:t>
            </w:r>
          </w:p>
        </w:tc>
        <w:tc>
          <w:tcPr>
            <w:tcW w:w="7620" w:type="dxa"/>
            <w:gridSpan w:val="3"/>
            <w:noWrap w:val="0"/>
            <w:vAlign w:val="top"/>
          </w:tcPr>
          <w:p w14:paraId="5BCBDF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6F167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noWrap w:val="0"/>
            <w:vAlign w:val="center"/>
          </w:tcPr>
          <w:p w14:paraId="3445B9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项目类型</w:t>
            </w:r>
          </w:p>
        </w:tc>
        <w:tc>
          <w:tcPr>
            <w:tcW w:w="7620" w:type="dxa"/>
            <w:gridSpan w:val="3"/>
            <w:noWrap w:val="0"/>
            <w:vAlign w:val="center"/>
          </w:tcPr>
          <w:p w14:paraId="613E2F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沙戈荒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基地外送通道/水风光一体化基地外送通道</w:t>
            </w:r>
          </w:p>
        </w:tc>
      </w:tr>
      <w:tr w14:paraId="53AF9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restart"/>
            <w:noWrap w:val="0"/>
            <w:vAlign w:val="center"/>
          </w:tcPr>
          <w:p w14:paraId="64E843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建设或改造目标</w:t>
            </w:r>
          </w:p>
        </w:tc>
        <w:tc>
          <w:tcPr>
            <w:tcW w:w="1282" w:type="dxa"/>
            <w:vMerge w:val="restart"/>
            <w:noWrap w:val="0"/>
            <w:vAlign w:val="center"/>
          </w:tcPr>
          <w:p w14:paraId="71B510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通道基本情况</w:t>
            </w:r>
          </w:p>
        </w:tc>
        <w:tc>
          <w:tcPr>
            <w:tcW w:w="1418" w:type="dxa"/>
            <w:noWrap w:val="0"/>
            <w:vAlign w:val="center"/>
          </w:tcPr>
          <w:p w14:paraId="780D11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电压等级（千伏）</w:t>
            </w:r>
          </w:p>
        </w:tc>
        <w:tc>
          <w:tcPr>
            <w:tcW w:w="4920" w:type="dxa"/>
            <w:noWrap w:val="0"/>
            <w:vAlign w:val="center"/>
          </w:tcPr>
          <w:p w14:paraId="35DAEB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625D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26034D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continue"/>
            <w:noWrap w:val="0"/>
            <w:vAlign w:val="top"/>
          </w:tcPr>
          <w:p w14:paraId="36F503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591908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输送容量（万千瓦）</w:t>
            </w:r>
          </w:p>
        </w:tc>
        <w:tc>
          <w:tcPr>
            <w:tcW w:w="4920" w:type="dxa"/>
            <w:noWrap w:val="0"/>
            <w:vAlign w:val="center"/>
          </w:tcPr>
          <w:p w14:paraId="501590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40BC2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1A3F05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continue"/>
            <w:noWrap w:val="0"/>
            <w:vAlign w:val="top"/>
          </w:tcPr>
          <w:p w14:paraId="38E292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57E6E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配套火电/水电（万千瓦）</w:t>
            </w:r>
          </w:p>
        </w:tc>
        <w:tc>
          <w:tcPr>
            <w:tcW w:w="4920" w:type="dxa"/>
            <w:noWrap w:val="0"/>
            <w:vAlign w:val="center"/>
          </w:tcPr>
          <w:p w14:paraId="7EEE66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155AA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453CC6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continue"/>
            <w:noWrap w:val="0"/>
            <w:vAlign w:val="top"/>
          </w:tcPr>
          <w:p w14:paraId="2FFD7B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7297F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配套新能源</w:t>
            </w:r>
          </w:p>
          <w:p w14:paraId="6F20ED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（万千瓦）</w:t>
            </w:r>
          </w:p>
        </w:tc>
        <w:tc>
          <w:tcPr>
            <w:tcW w:w="4920" w:type="dxa"/>
            <w:noWrap w:val="0"/>
            <w:vAlign w:val="center"/>
          </w:tcPr>
          <w:p w14:paraId="2C53D4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配套风电、光伏、光热等规模</w:t>
            </w:r>
          </w:p>
        </w:tc>
      </w:tr>
      <w:tr w14:paraId="1B3DA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7C36ED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continue"/>
            <w:noWrap w:val="0"/>
            <w:vAlign w:val="top"/>
          </w:tcPr>
          <w:p w14:paraId="002D8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0999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配套调节措施（万千瓦，小时）</w:t>
            </w:r>
          </w:p>
        </w:tc>
        <w:tc>
          <w:tcPr>
            <w:tcW w:w="4920" w:type="dxa"/>
            <w:noWrap w:val="0"/>
            <w:vAlign w:val="center"/>
          </w:tcPr>
          <w:p w14:paraId="6EF458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储能、抽蓄等配套调节措施的类型、规模及时长</w:t>
            </w:r>
          </w:p>
        </w:tc>
      </w:tr>
      <w:tr w14:paraId="716AF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1D5515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restart"/>
            <w:noWrap w:val="0"/>
            <w:vAlign w:val="center"/>
          </w:tcPr>
          <w:p w14:paraId="294F3E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项目技术先进性</w:t>
            </w:r>
          </w:p>
        </w:tc>
        <w:tc>
          <w:tcPr>
            <w:tcW w:w="1418" w:type="dxa"/>
            <w:noWrap w:val="0"/>
            <w:vAlign w:val="center"/>
          </w:tcPr>
          <w:p w14:paraId="503709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交直流输电技术</w:t>
            </w:r>
          </w:p>
        </w:tc>
        <w:tc>
          <w:tcPr>
            <w:tcW w:w="4920" w:type="dxa"/>
            <w:noWrap w:val="0"/>
            <w:vAlign w:val="center"/>
          </w:tcPr>
          <w:p w14:paraId="23D8B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柔性直流、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多源自适应换相直流输电技术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（SLCC）、多端直流、低频输电、构网型等先进输电技术应用情况</w:t>
            </w:r>
          </w:p>
        </w:tc>
      </w:tr>
      <w:tr w14:paraId="0E1A0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055250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continue"/>
            <w:noWrap w:val="0"/>
            <w:vAlign w:val="center"/>
          </w:tcPr>
          <w:p w14:paraId="05DB0B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05F06DB">
            <w:pPr>
              <w:widowControl/>
              <w:spacing w:after="0" w:line="240" w:lineRule="auto"/>
              <w:jc w:val="center"/>
              <w:rPr>
                <w:rFonts w:hint="default" w:ascii="仿宋_GB2312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构网型控制技术</w:t>
            </w:r>
          </w:p>
        </w:tc>
        <w:tc>
          <w:tcPr>
            <w:tcW w:w="4920" w:type="dxa"/>
            <w:noWrap w:val="0"/>
            <w:vAlign w:val="center"/>
          </w:tcPr>
          <w:p w14:paraId="38F4FDD6">
            <w:pPr>
              <w:widowControl/>
              <w:spacing w:after="0" w:line="240" w:lineRule="auto"/>
              <w:jc w:val="center"/>
              <w:rPr>
                <w:rFonts w:hint="default" w:ascii="仿宋_GB2312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新能源、新型储能或直流输电采用构网型技术的情况及规模</w:t>
            </w:r>
          </w:p>
        </w:tc>
      </w:tr>
      <w:tr w14:paraId="45806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4F4E34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continue"/>
            <w:noWrap w:val="0"/>
            <w:vAlign w:val="center"/>
          </w:tcPr>
          <w:p w14:paraId="09492D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866BE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基地电源与外送通道协同控制技术</w:t>
            </w:r>
          </w:p>
        </w:tc>
        <w:tc>
          <w:tcPr>
            <w:tcW w:w="4920" w:type="dxa"/>
            <w:noWrap w:val="0"/>
            <w:vAlign w:val="center"/>
          </w:tcPr>
          <w:p w14:paraId="717ED9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  <w:t>为满足高比例/纯新能源基地高效安全开发外送，采用的配套电源一体化外送协同控制相关技术</w:t>
            </w:r>
          </w:p>
        </w:tc>
      </w:tr>
      <w:tr w14:paraId="43ADF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7A1859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restart"/>
            <w:noWrap w:val="0"/>
            <w:vAlign w:val="center"/>
          </w:tcPr>
          <w:p w14:paraId="29CF5A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绿色化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水平</w:t>
            </w:r>
          </w:p>
        </w:tc>
        <w:tc>
          <w:tcPr>
            <w:tcW w:w="1418" w:type="dxa"/>
            <w:noWrap w:val="0"/>
            <w:vAlign w:val="center"/>
          </w:tcPr>
          <w:p w14:paraId="70E49A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通道新能源年外送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电量占比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%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920" w:type="dxa"/>
            <w:noWrap w:val="0"/>
            <w:vAlign w:val="center"/>
          </w:tcPr>
          <w:p w14:paraId="347119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1676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78A57C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continue"/>
            <w:noWrap w:val="0"/>
            <w:vAlign w:val="center"/>
          </w:tcPr>
          <w:p w14:paraId="24E650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5EA52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配套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新能源利用率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%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920" w:type="dxa"/>
            <w:noWrap w:val="0"/>
            <w:vAlign w:val="center"/>
          </w:tcPr>
          <w:p w14:paraId="3D1251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0C3DB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756934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restart"/>
            <w:noWrap w:val="0"/>
            <w:vAlign w:val="center"/>
          </w:tcPr>
          <w:p w14:paraId="6E48E2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项目运行安全可靠水平</w:t>
            </w:r>
          </w:p>
        </w:tc>
        <w:tc>
          <w:tcPr>
            <w:tcW w:w="1418" w:type="dxa"/>
            <w:noWrap w:val="0"/>
            <w:vAlign w:val="center"/>
          </w:tcPr>
          <w:p w14:paraId="48D361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通道午/晚高峰可靠顶峰能力（万千瓦）</w:t>
            </w:r>
          </w:p>
        </w:tc>
        <w:tc>
          <w:tcPr>
            <w:tcW w:w="4920" w:type="dxa"/>
            <w:noWrap w:val="0"/>
            <w:vAlign w:val="center"/>
          </w:tcPr>
          <w:p w14:paraId="054CA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高峰时段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配套电源9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%概率可达到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的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出力水平</w:t>
            </w:r>
          </w:p>
        </w:tc>
      </w:tr>
      <w:tr w14:paraId="6B3FD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49A93E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continue"/>
            <w:noWrap w:val="0"/>
            <w:vAlign w:val="center"/>
          </w:tcPr>
          <w:p w14:paraId="2D8AF1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6FD8237">
            <w:pPr>
              <w:widowControl/>
              <w:spacing w:after="0" w:line="240" w:lineRule="auto"/>
              <w:jc w:val="center"/>
              <w:rPr>
                <w:rFonts w:hint="default" w:ascii="仿宋_GB2312" w:hAnsi="Times New Roman" w:eastAsia="仿宋_GB2312" w:cs="Times New Roman"/>
                <w:kern w:val="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送端换流站短路比</w:t>
            </w:r>
          </w:p>
        </w:tc>
        <w:tc>
          <w:tcPr>
            <w:tcW w:w="4920" w:type="dxa"/>
            <w:noWrap w:val="0"/>
            <w:vAlign w:val="center"/>
          </w:tcPr>
          <w:p w14:paraId="363B183B">
            <w:pPr>
              <w:widowControl/>
              <w:spacing w:after="0" w:line="240" w:lineRule="auto"/>
              <w:jc w:val="center"/>
              <w:rPr>
                <w:rFonts w:hint="default" w:ascii="仿宋_GB2312" w:hAnsi="Times New Roman" w:eastAsia="仿宋_GB2312" w:cs="Times New Roman"/>
                <w:kern w:val="0"/>
                <w:sz w:val="24"/>
                <w:szCs w:val="24"/>
                <w:highlight w:val="yellow"/>
                <w:lang w:val="en-US" w:eastAsia="zh-CN"/>
              </w:rPr>
            </w:pPr>
          </w:p>
        </w:tc>
      </w:tr>
      <w:tr w14:paraId="05A98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279BEC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continue"/>
            <w:noWrap w:val="0"/>
            <w:vAlign w:val="center"/>
          </w:tcPr>
          <w:p w14:paraId="45D654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00F9DD2F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新能源多场站短路比</w:t>
            </w:r>
          </w:p>
        </w:tc>
        <w:tc>
          <w:tcPr>
            <w:tcW w:w="4920" w:type="dxa"/>
            <w:noWrap w:val="0"/>
            <w:vAlign w:val="center"/>
          </w:tcPr>
          <w:p w14:paraId="2A81C3A5">
            <w:pPr>
              <w:widowControl/>
              <w:spacing w:after="0" w:line="240" w:lineRule="auto"/>
              <w:jc w:val="center"/>
              <w:rPr>
                <w:rFonts w:hint="default" w:ascii="仿宋_GB2312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新能源发电单元升压变低压侧的新能源多场站短路比</w:t>
            </w:r>
          </w:p>
        </w:tc>
      </w:tr>
      <w:tr w14:paraId="35B35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6F175E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continue"/>
            <w:noWrap w:val="0"/>
            <w:vAlign w:val="center"/>
          </w:tcPr>
          <w:p w14:paraId="2C2EC4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5F88CCB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新能源场址、支撑调节性电源及对应输电通道换流站布局情况（公里）</w:t>
            </w:r>
          </w:p>
        </w:tc>
        <w:tc>
          <w:tcPr>
            <w:tcW w:w="4920" w:type="dxa"/>
            <w:noWrap w:val="0"/>
            <w:vAlign w:val="center"/>
          </w:tcPr>
          <w:p w14:paraId="16596D2D">
            <w:pPr>
              <w:widowControl/>
              <w:spacing w:after="0" w:line="240" w:lineRule="auto"/>
              <w:jc w:val="center"/>
              <w:rPr>
                <w:rFonts w:hint="default" w:ascii="仿宋_GB2312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新能源场址、支撑调节性电源及对应输电通道换流站的布局距离</w:t>
            </w:r>
            <w:r>
              <w:rPr>
                <w:rFonts w:hint="default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，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换流站选址和基地场址边缘的距离</w:t>
            </w:r>
            <w:r>
              <w:rPr>
                <w:rFonts w:hint="default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，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支撑调节电源与换流站线路的路径长度</w:t>
            </w:r>
          </w:p>
        </w:tc>
      </w:tr>
      <w:tr w14:paraId="215BF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0B6410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continue"/>
            <w:noWrap w:val="0"/>
            <w:vAlign w:val="center"/>
          </w:tcPr>
          <w:p w14:paraId="417FE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4302AF3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配套新能源运行适应性、故障穿越能力</w:t>
            </w:r>
          </w:p>
        </w:tc>
        <w:tc>
          <w:tcPr>
            <w:tcW w:w="4920" w:type="dxa"/>
            <w:noWrap w:val="0"/>
            <w:vAlign w:val="center"/>
          </w:tcPr>
          <w:p w14:paraId="4E742BA5">
            <w:pPr>
              <w:widowControl/>
              <w:spacing w:after="0" w:line="240" w:lineRule="auto"/>
              <w:jc w:val="center"/>
              <w:rPr>
                <w:rFonts w:hint="default" w:ascii="仿宋_GB2312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风电、光伏的电压适应性、频率适应性及具备低电压穿越能力、高电压穿越能力等情况</w:t>
            </w:r>
          </w:p>
        </w:tc>
      </w:tr>
      <w:tr w14:paraId="65F9F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733561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restart"/>
            <w:noWrap w:val="0"/>
            <w:vAlign w:val="center"/>
          </w:tcPr>
          <w:p w14:paraId="76C43C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项目灵活调节水平</w:t>
            </w:r>
          </w:p>
        </w:tc>
        <w:tc>
          <w:tcPr>
            <w:tcW w:w="1418" w:type="dxa"/>
            <w:noWrap w:val="0"/>
            <w:vAlign w:val="center"/>
          </w:tcPr>
          <w:p w14:paraId="1C88DF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通道运行多模式可切换</w:t>
            </w:r>
          </w:p>
        </w:tc>
        <w:tc>
          <w:tcPr>
            <w:tcW w:w="4920" w:type="dxa"/>
            <w:noWrap w:val="0"/>
            <w:vAlign w:val="center"/>
          </w:tcPr>
          <w:p w14:paraId="429196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通道具备的运行模式及在线切换能力，比如阀组功率转带、降压运行、过负荷运行、反送电等</w:t>
            </w:r>
          </w:p>
        </w:tc>
      </w:tr>
      <w:tr w14:paraId="43F29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6C3B98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continue"/>
            <w:noWrap w:val="0"/>
            <w:vAlign w:val="center"/>
          </w:tcPr>
          <w:p w14:paraId="32F86F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FFE5A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配套常规电源调峰能力（%）</w:t>
            </w:r>
          </w:p>
        </w:tc>
        <w:tc>
          <w:tcPr>
            <w:tcW w:w="4920" w:type="dxa"/>
            <w:noWrap w:val="0"/>
            <w:vAlign w:val="center"/>
          </w:tcPr>
          <w:p w14:paraId="585F22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配套常规电源最小技术出力占机组容量比例</w:t>
            </w:r>
          </w:p>
        </w:tc>
      </w:tr>
      <w:tr w14:paraId="60D9C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2246E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restart"/>
            <w:noWrap w:val="0"/>
            <w:vAlign w:val="center"/>
          </w:tcPr>
          <w:p w14:paraId="6EA541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项目运行效率及经济性</w:t>
            </w:r>
          </w:p>
        </w:tc>
        <w:tc>
          <w:tcPr>
            <w:tcW w:w="1418" w:type="dxa"/>
            <w:noWrap w:val="0"/>
            <w:vAlign w:val="center"/>
          </w:tcPr>
          <w:p w14:paraId="0F0ADB91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基地新能源场址资源情况</w:t>
            </w:r>
          </w:p>
        </w:tc>
        <w:tc>
          <w:tcPr>
            <w:tcW w:w="4920" w:type="dxa"/>
            <w:noWrap w:val="0"/>
            <w:vAlign w:val="center"/>
          </w:tcPr>
          <w:p w14:paraId="102ABE9C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基地光伏场址太阳能资源年水平面总辐射量（千瓦时/平方米）</w:t>
            </w:r>
            <w:r>
              <w:rPr>
                <w:rFonts w:hint="default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，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风电场址轮毂高度年平均风速（米/秒）</w:t>
            </w:r>
          </w:p>
        </w:tc>
      </w:tr>
      <w:tr w14:paraId="601A1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625D07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continue"/>
            <w:noWrap w:val="0"/>
            <w:vAlign w:val="center"/>
          </w:tcPr>
          <w:p w14:paraId="416E85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599168F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基地新能源规模化集约化情况（万千瓦）</w:t>
            </w:r>
          </w:p>
        </w:tc>
        <w:tc>
          <w:tcPr>
            <w:tcW w:w="4920" w:type="dxa"/>
            <w:noWrap w:val="0"/>
            <w:vAlign w:val="center"/>
          </w:tcPr>
          <w:p w14:paraId="5C9864B4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基地光伏单场容量</w:t>
            </w:r>
            <w:r>
              <w:rPr>
                <w:rFonts w:hint="default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，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风电单场容量</w:t>
            </w:r>
          </w:p>
        </w:tc>
      </w:tr>
      <w:tr w14:paraId="139CA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594AD6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continue"/>
            <w:noWrap w:val="0"/>
            <w:vAlign w:val="center"/>
          </w:tcPr>
          <w:p w14:paraId="2556C8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578D43B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通道年利用小时数（小时）</w:t>
            </w:r>
          </w:p>
        </w:tc>
        <w:tc>
          <w:tcPr>
            <w:tcW w:w="4920" w:type="dxa"/>
            <w:noWrap w:val="0"/>
            <w:vAlign w:val="center"/>
          </w:tcPr>
          <w:p w14:paraId="6E7F6996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0C262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1B4B0B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Merge w:val="continue"/>
            <w:noWrap w:val="0"/>
            <w:vAlign w:val="center"/>
          </w:tcPr>
          <w:p w14:paraId="491783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0A1D7AA0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基地及通道运行经济性（元/千瓦时）</w:t>
            </w:r>
          </w:p>
        </w:tc>
        <w:tc>
          <w:tcPr>
            <w:tcW w:w="4920" w:type="dxa"/>
            <w:noWrap w:val="0"/>
            <w:vAlign w:val="center"/>
          </w:tcPr>
          <w:p w14:paraId="28EA53AC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highlight w:val="none"/>
              </w:rPr>
              <w:t>基地电源综合上网电价、通道输电价、落地电价及受端对标基准价</w:t>
            </w:r>
          </w:p>
        </w:tc>
      </w:tr>
      <w:tr w14:paraId="7EAA8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63" w:type="dxa"/>
            <w:vMerge w:val="restart"/>
            <w:noWrap w:val="0"/>
            <w:vAlign w:val="center"/>
          </w:tcPr>
          <w:p w14:paraId="151C44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背景与基础</w:t>
            </w:r>
          </w:p>
        </w:tc>
        <w:tc>
          <w:tcPr>
            <w:tcW w:w="7620" w:type="dxa"/>
            <w:gridSpan w:val="3"/>
            <w:noWrap w:val="0"/>
            <w:vAlign w:val="center"/>
          </w:tcPr>
          <w:p w14:paraId="1E3EC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背景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（简要介绍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基地外送通道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送受端电力系统发展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现状，阐述项目建设必要性，可另附页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</w:p>
        </w:tc>
      </w:tr>
      <w:tr w14:paraId="70310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65BE1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20" w:type="dxa"/>
            <w:gridSpan w:val="3"/>
            <w:noWrap w:val="0"/>
            <w:vAlign w:val="center"/>
          </w:tcPr>
          <w:p w14:paraId="519E2E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2.项目已开展的前期工作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简要介绍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纳规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核准等前期工作基础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配套电源落实情况及建设进度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，可另附页</w:t>
            </w:r>
            <w:r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  <w:lang w:eastAsia="zh-CN"/>
              </w:rPr>
              <w:t>）</w:t>
            </w:r>
          </w:p>
        </w:tc>
      </w:tr>
      <w:tr w14:paraId="4DA0F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 w14:paraId="5DBC5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20" w:type="dxa"/>
            <w:gridSpan w:val="3"/>
            <w:noWrap w:val="0"/>
            <w:vAlign w:val="center"/>
          </w:tcPr>
          <w:p w14:paraId="2628A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3.项目单位业绩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技术研发、融合创新、建设运营等能力，可另附页</w:t>
            </w:r>
            <w:r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  <w:lang w:eastAsia="zh-CN"/>
              </w:rPr>
              <w:t>）</w:t>
            </w:r>
          </w:p>
        </w:tc>
      </w:tr>
      <w:tr w14:paraId="6638C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63" w:type="dxa"/>
            <w:noWrap w:val="0"/>
            <w:vAlign w:val="center"/>
          </w:tcPr>
          <w:p w14:paraId="50812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建设或改造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  <w:t>方案</w:t>
            </w:r>
          </w:p>
        </w:tc>
        <w:tc>
          <w:tcPr>
            <w:tcW w:w="7620" w:type="dxa"/>
            <w:gridSpan w:val="3"/>
            <w:noWrap w:val="0"/>
            <w:vAlign w:val="center"/>
          </w:tcPr>
          <w:p w14:paraId="7BB2E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包括但不限于基地外送系统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  <w:t>发电、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输电、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  <w:t>调节、控制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等环节的建设或改造方案</w:t>
            </w:r>
            <w:r>
              <w:rPr>
                <w:rFonts w:hint="default" w:ascii="Times New Roman" w:hAnsi="Times New Roman" w:eastAsia="仿宋_GB2312"/>
                <w:sz w:val="24"/>
              </w:rPr>
              <w:t>（可另附页）</w:t>
            </w:r>
          </w:p>
        </w:tc>
      </w:tr>
      <w:tr w14:paraId="2C008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63" w:type="dxa"/>
            <w:noWrap w:val="0"/>
            <w:vAlign w:val="center"/>
          </w:tcPr>
          <w:p w14:paraId="2D182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保障措施</w:t>
            </w:r>
          </w:p>
        </w:tc>
        <w:tc>
          <w:tcPr>
            <w:tcW w:w="7620" w:type="dxa"/>
            <w:gridSpan w:val="3"/>
            <w:noWrap w:val="0"/>
            <w:vAlign w:val="center"/>
          </w:tcPr>
          <w:p w14:paraId="2F24D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项目涉及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区、市</w:t>
            </w:r>
            <w:r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能源主管部门从加强统筹协调、加大政策支持、加强过程监督、完善调度运行机制等方面提出保障措施</w:t>
            </w:r>
            <w:r>
              <w:rPr>
                <w:rFonts w:hint="default" w:ascii="Times New Roman" w:hAnsi="Times New Roman" w:eastAsia="仿宋_GB2312"/>
                <w:sz w:val="24"/>
              </w:rPr>
              <w:t>（可另附页）</w:t>
            </w:r>
          </w:p>
        </w:tc>
      </w:tr>
      <w:tr w14:paraId="18D10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63" w:type="dxa"/>
            <w:noWrap w:val="0"/>
            <w:vAlign w:val="center"/>
          </w:tcPr>
          <w:p w14:paraId="33E9F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其它</w:t>
            </w:r>
          </w:p>
        </w:tc>
        <w:tc>
          <w:tcPr>
            <w:tcW w:w="7620" w:type="dxa"/>
            <w:gridSpan w:val="3"/>
            <w:noWrap w:val="0"/>
            <w:vAlign w:val="center"/>
          </w:tcPr>
          <w:p w14:paraId="631A85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实施方案报告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如有，作为附件</w:t>
            </w:r>
            <w:r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重点针对具体建设方案、可行性论证、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保障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措施等方面进一步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详细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论述，并附相关支撑性文件</w:t>
            </w:r>
          </w:p>
        </w:tc>
      </w:tr>
      <w:tr w14:paraId="31177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8983" w:type="dxa"/>
            <w:gridSpan w:val="4"/>
            <w:noWrap w:val="0"/>
            <w:vAlign w:val="center"/>
          </w:tcPr>
          <w:p w14:paraId="41D9F79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476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</w:rPr>
            </w:pPr>
          </w:p>
          <w:p w14:paraId="4F6C9D6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476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</w:rPr>
            </w:pPr>
          </w:p>
          <w:p w14:paraId="439DB7E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476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</w:rPr>
              <w:t>本单位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  <w:t>郑重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</w:rPr>
              <w:t>承诺，本单位所提交的全部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</w:rPr>
              <w:t>材料均真实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</w:rPr>
              <w:t>有效，如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有虚假情况，愿意承担相应的责任。列入试点后，严格落实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方案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</w:rPr>
              <w:t>，按期完成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</w:rPr>
              <w:t>实施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eastAsia="zh-CN"/>
              </w:rPr>
              <w:t>。</w:t>
            </w:r>
          </w:p>
          <w:p w14:paraId="49C0EA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0C268F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9F69DF4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720" w:firstLineChars="300"/>
              <w:jc w:val="left"/>
              <w:textAlignment w:val="auto"/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  <w:lang w:eastAsia="zh-CN"/>
              </w:rPr>
              <w:t>）</w:t>
            </w:r>
          </w:p>
          <w:p w14:paraId="730B870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744" w:firstLineChars="300"/>
              <w:jc w:val="left"/>
              <w:textAlignment w:val="auto"/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  <w:lang w:eastAsia="zh-CN"/>
              </w:rPr>
            </w:pPr>
          </w:p>
          <w:p w14:paraId="66093B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6670" w:firstLineChars="290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8"/>
                <w:sz w:val="24"/>
                <w:szCs w:val="24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 xml:space="preserve">月 </w:t>
            </w: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 xml:space="preserve"> 日</w:t>
            </w:r>
          </w:p>
        </w:tc>
      </w:tr>
      <w:tr w14:paraId="52C94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8983" w:type="dxa"/>
            <w:gridSpan w:val="4"/>
            <w:noWrap w:val="0"/>
            <w:vAlign w:val="center"/>
          </w:tcPr>
          <w:p w14:paraId="238933AD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  <w:p w14:paraId="4CC5BC5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720" w:firstLineChars="30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  <w:p w14:paraId="204BD20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720" w:firstLineChars="30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  <w:p w14:paraId="3FC24D8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720" w:firstLineChars="30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项目送端所在省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区、市</w:t>
            </w:r>
            <w:r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项目受端所在省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区、市</w:t>
            </w:r>
            <w:r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  <w:lang w:eastAsia="zh-CN"/>
              </w:rPr>
              <w:t>）</w:t>
            </w:r>
          </w:p>
          <w:p w14:paraId="53C0FD6E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720" w:firstLineChars="30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能源主管部门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能源主管部门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pacing w:val="4"/>
                <w:sz w:val="24"/>
                <w:szCs w:val="24"/>
                <w:lang w:eastAsia="zh-CN"/>
              </w:rPr>
              <w:t>）</w:t>
            </w:r>
          </w:p>
          <w:p w14:paraId="776C15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4EBDEEEB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4182" w:firstLineChars="1700"/>
              <w:jc w:val="left"/>
              <w:textAlignment w:val="auto"/>
              <w:rPr>
                <w:rFonts w:hint="default" w:ascii="Times New Roman" w:hAnsi="Times New Roman" w:eastAsia="仿宋_GB2312" w:cs="Times New Roman"/>
                <w:spacing w:val="3"/>
                <w:sz w:val="24"/>
                <w:szCs w:val="24"/>
              </w:rPr>
            </w:pPr>
          </w:p>
          <w:p w14:paraId="4FBD934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4182" w:firstLineChars="1700"/>
              <w:jc w:val="left"/>
              <w:textAlignment w:val="auto"/>
              <w:rPr>
                <w:rFonts w:hint="default" w:ascii="Times New Roman" w:hAnsi="Times New Roman" w:eastAsia="仿宋_GB2312" w:cs="Times New Roman"/>
                <w:spacing w:val="3"/>
                <w:sz w:val="24"/>
                <w:szCs w:val="24"/>
              </w:rPr>
            </w:pPr>
          </w:p>
          <w:p w14:paraId="16742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670" w:firstLineChars="290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8"/>
                <w:sz w:val="24"/>
                <w:szCs w:val="24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 xml:space="preserve">月 </w:t>
            </w: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5"/>
                <w:sz w:val="24"/>
                <w:szCs w:val="24"/>
              </w:rPr>
              <w:t xml:space="preserve"> 日</w:t>
            </w:r>
          </w:p>
        </w:tc>
      </w:tr>
      <w:tr w14:paraId="6E025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4063" w:type="dxa"/>
            <w:gridSpan w:val="3"/>
            <w:noWrap w:val="0"/>
            <w:vAlign w:val="center"/>
          </w:tcPr>
          <w:p w14:paraId="2CCB551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</w:rPr>
              <w:t>联系人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4920" w:type="dxa"/>
            <w:noWrap w:val="0"/>
            <w:vAlign w:val="center"/>
          </w:tcPr>
          <w:p w14:paraId="245E04B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</w:rPr>
              <w:t>联系电话：</w:t>
            </w:r>
          </w:p>
        </w:tc>
      </w:tr>
    </w:tbl>
    <w:p w14:paraId="2C32727C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83F0B7E"/>
    <w:rsid w:val="61A53656"/>
    <w:rsid w:val="E83F0B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4正文"/>
    <w:basedOn w:val="1"/>
    <w:qFormat/>
    <w:uiPriority w:val="0"/>
    <w:pPr>
      <w:spacing w:line="360" w:lineRule="auto"/>
      <w:ind w:firstLine="880" w:firstLineChars="200"/>
    </w:pPr>
    <w:rPr>
      <w:rFonts w:ascii="Times New Roman" w:hAnsi="Times New Roman" w:eastAsia="仿宋_GB2312" w:cs="Times New Roman"/>
      <w:sz w:val="30"/>
    </w:r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9"/>
      <w:szCs w:val="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1295</Words>
  <Characters>1303</Characters>
  <Lines>0</Lines>
  <Paragraphs>0</Paragraphs>
  <TotalTime>0</TotalTime>
  <ScaleCrop>false</ScaleCrop>
  <LinksUpToDate>false</LinksUpToDate>
  <CharactersWithSpaces>1337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2025-06-03T08:18:00Z</dcterms:created>
  <dc:creator>gaoyaoyu</dc:creator>
  <cp:lastModifiedBy>往复随安</cp:lastModifiedBy>
  <dcterms:modified xsi:type="dcterms:W3CDTF">2025-06-05T01:03:05Z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0BD6B1E727994E258F367AE197E9CDE2_13</vt:lpwstr>
  </property>
</Properties>
</file>