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536858">
      <w:pPr>
        <w:snapToGrid w:val="0"/>
        <w:spacing w:line="580" w:lineRule="exact"/>
        <w:jc w:val="left"/>
        <w:rPr>
          <w:rFonts w:hint="default"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hint="default" w:ascii="Times New Roman" w:hAnsi="Times New Roman" w:eastAsia="黑体"/>
          <w:sz w:val="32"/>
          <w:szCs w:val="32"/>
        </w:rPr>
        <w:t>3</w:t>
      </w:r>
    </w:p>
    <w:p w14:paraId="6769BDF9">
      <w:pPr>
        <w:snapToGrid w:val="0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 w14:paraId="3F61FEEF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智能微电网试点申报表</w:t>
      </w:r>
    </w:p>
    <w:p w14:paraId="57554E7E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</w:p>
    <w:tbl>
      <w:tblPr>
        <w:tblStyle w:val="2"/>
        <w:tblW w:w="8460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104"/>
        <w:gridCol w:w="1985"/>
        <w:gridCol w:w="1191"/>
        <w:gridCol w:w="218"/>
        <w:gridCol w:w="3122"/>
      </w:tblGrid>
      <w:tr w14:paraId="0528D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C7C8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78CE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08B6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DAA41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项目地点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F930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3469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F023F"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应用场景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E947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1D1C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6F3A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4F0F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0660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1B75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开工时间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41F9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BB9E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7B72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预计投运时间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4FC9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EA98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A8EEC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审批情况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DD25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不涉及</w:t>
            </w:r>
          </w:p>
        </w:tc>
      </w:tr>
      <w:tr w14:paraId="6FF3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724E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项目总投资</w:t>
            </w:r>
          </w:p>
        </w:tc>
        <w:tc>
          <w:tcPr>
            <w:tcW w:w="6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7E83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E89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E56F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项目类型</w:t>
            </w:r>
          </w:p>
        </w:tc>
        <w:tc>
          <w:tcPr>
            <w:tcW w:w="3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02C3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源网荷储协同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风光储互补智能微电网</w:t>
            </w:r>
          </w:p>
        </w:tc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EE92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并网型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离网型</w:t>
            </w:r>
          </w:p>
        </w:tc>
      </w:tr>
      <w:tr w14:paraId="197E0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A702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建设或改造目标</w:t>
            </w: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5C7BA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项目</w:t>
            </w:r>
          </w:p>
          <w:p w14:paraId="6038ACA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规模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807A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接入电压等级（千伏）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168D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C6B6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D7771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3AAC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C71E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风电（万千瓦）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4CB2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75B4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72F3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82FA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20ED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光伏（万千瓦）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B485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F3E8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860B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DC81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BC7B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</w:t>
            </w:r>
            <w:r>
              <w:rPr>
                <w:rFonts w:hint="default" w:ascii="Times New Roman" w:hAnsi="Times New Roman" w:eastAsia="仿宋_GB2312"/>
                <w:sz w:val="24"/>
              </w:rPr>
              <w:t>它</w:t>
            </w:r>
            <w:r>
              <w:rPr>
                <w:rFonts w:hint="eastAsia" w:ascii="Times New Roman" w:hAnsi="Times New Roman" w:eastAsia="仿宋_GB2312"/>
                <w:sz w:val="24"/>
              </w:rPr>
              <w:t>分布式电源（万千瓦）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A03E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47D7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B949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A9F2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01A98"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新型储能</w:t>
            </w:r>
          </w:p>
          <w:p w14:paraId="33B35B6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（万千瓦，小时）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B46B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4C99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D6CD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AD0B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646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负荷（万千瓦，亿千瓦时）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5BB0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9E85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B82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0856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项目绿色化水平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94DA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新能源利用率（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517E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4F4A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DC8C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3C34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135B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新能源自消纳水平（亿千瓦时，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76C5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新能源就地消纳电量及占新能源总发电量比重</w:t>
            </w:r>
          </w:p>
        </w:tc>
      </w:tr>
      <w:tr w14:paraId="3E136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E086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C5E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9D0E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绿电占比</w:t>
            </w:r>
            <w:r>
              <w:rPr>
                <w:rFonts w:hint="eastAsia" w:ascii="Times New Roman" w:hAnsi="Times New Roman" w:eastAsia="仿宋_GB2312"/>
                <w:sz w:val="24"/>
              </w:rPr>
              <w:t>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20DC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用电量中</w:t>
            </w:r>
            <w:r>
              <w:rPr>
                <w:rFonts w:hint="default" w:ascii="Times New Roman" w:hAnsi="Times New Roman" w:eastAsia="仿宋_GB2312"/>
                <w:sz w:val="24"/>
              </w:rPr>
              <w:t>绿电</w:t>
            </w:r>
            <w:r>
              <w:rPr>
                <w:rFonts w:hint="eastAsia" w:ascii="Times New Roman" w:hAnsi="Times New Roman" w:eastAsia="仿宋_GB2312"/>
                <w:sz w:val="24"/>
              </w:rPr>
              <w:t>占比</w:t>
            </w:r>
          </w:p>
        </w:tc>
      </w:tr>
      <w:tr w14:paraId="75594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D28A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01B6E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项目电力保供能力及灵活性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4F0F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多模式可切换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E5FE1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智能微电网具备的运行模式，如调峰模式、自平衡模式、孤岛运行模式等</w:t>
            </w:r>
            <w:r>
              <w:rPr>
                <w:rFonts w:hint="default" w:ascii="Times New Roman" w:hAnsi="Times New Roman" w:eastAsia="仿宋_GB2312"/>
                <w:sz w:val="24"/>
              </w:rPr>
              <w:t>，切换过程是否需要中断负荷</w:t>
            </w:r>
          </w:p>
        </w:tc>
      </w:tr>
      <w:tr w14:paraId="43F25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CF6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72F3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783149">
            <w:pPr>
              <w:jc w:val="center"/>
              <w:rPr>
                <w:rFonts w:hint="eastAsia" w:ascii="Times New Roman" w:hAnsi="Times New Roman" w:eastAsia="仿宋_GB2312"/>
                <w:kern w:val="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</w:rPr>
              <w:t>独立运行</w:t>
            </w:r>
            <w:r>
              <w:rPr>
                <w:rFonts w:hint="eastAsia" w:ascii="Times New Roman" w:hAnsi="Times New Roman" w:eastAsia="仿宋_GB2312"/>
                <w:sz w:val="24"/>
              </w:rPr>
              <w:t>时长（小时）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D2771">
            <w:pPr>
              <w:jc w:val="center"/>
              <w:rPr>
                <w:rFonts w:hint="eastAsia" w:ascii="Times New Roman" w:hAnsi="Times New Roman" w:eastAsia="仿宋_GB2312"/>
                <w:kern w:val="2"/>
                <w:sz w:val="24"/>
                <w:lang w:val="en-US" w:eastAsia="zh-CN"/>
              </w:rPr>
            </w:pPr>
          </w:p>
        </w:tc>
      </w:tr>
      <w:tr w14:paraId="38231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FD48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AF6A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DF05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与主网协同控制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DF95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智能微电网与接入配电网调度关系及协</w:t>
            </w:r>
            <w:r>
              <w:rPr>
                <w:rFonts w:hint="default" w:ascii="Times New Roman" w:hAnsi="Times New Roman" w:eastAsia="仿宋_GB2312"/>
                <w:sz w:val="24"/>
              </w:rPr>
              <w:t>同控制</w:t>
            </w:r>
            <w:r>
              <w:rPr>
                <w:rFonts w:hint="eastAsia" w:ascii="Times New Roman" w:hAnsi="Times New Roman" w:eastAsia="仿宋_GB2312"/>
                <w:sz w:val="24"/>
              </w:rPr>
              <w:t>模式</w:t>
            </w:r>
          </w:p>
        </w:tc>
      </w:tr>
      <w:tr w14:paraId="09173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EC66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6650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34BC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向主网提供调峰、调频等支撑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E53F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智能微电网净对外功率调节范围、下调速率、持续时长等指标</w:t>
            </w:r>
          </w:p>
        </w:tc>
      </w:tr>
      <w:tr w14:paraId="75B6B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53D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EBF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3BB1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源荷储</w:t>
            </w:r>
            <w:r>
              <w:rPr>
                <w:rFonts w:hint="eastAsia" w:ascii="Times New Roman" w:hAnsi="Times New Roman" w:eastAsia="仿宋_GB2312"/>
                <w:sz w:val="24"/>
              </w:rPr>
              <w:t>调节能力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865FF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电源可调节功率及时长、储能功率及时长、</w:t>
            </w:r>
            <w:r>
              <w:rPr>
                <w:rFonts w:hint="eastAsia" w:ascii="Times New Roman" w:hAnsi="Times New Roman" w:eastAsia="仿宋_GB2312"/>
                <w:sz w:val="24"/>
              </w:rPr>
              <w:t>可调节负荷</w:t>
            </w:r>
            <w:r>
              <w:rPr>
                <w:rFonts w:hint="default" w:ascii="Times New Roman" w:hAnsi="Times New Roman" w:eastAsia="仿宋_GB2312"/>
                <w:sz w:val="24"/>
              </w:rPr>
              <w:t>规模及时长</w:t>
            </w:r>
          </w:p>
        </w:tc>
      </w:tr>
      <w:tr w14:paraId="78E37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3377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A094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与上级电网协调性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CAC1D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与电网交换功率</w:t>
            </w:r>
            <w:r>
              <w:rPr>
                <w:rFonts w:hint="default" w:ascii="Times New Roman" w:hAnsi="Times New Roman" w:eastAsia="仿宋_GB2312"/>
                <w:sz w:val="24"/>
              </w:rPr>
              <w:t>、</w:t>
            </w:r>
            <w:r>
              <w:rPr>
                <w:rFonts w:hint="eastAsia" w:ascii="Times New Roman" w:hAnsi="Times New Roman" w:eastAsia="仿宋_GB2312"/>
                <w:sz w:val="24"/>
              </w:rPr>
              <w:t>电量（万千瓦，亿千瓦时）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6F48D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上网</w:t>
            </w:r>
            <w:r>
              <w:rPr>
                <w:rFonts w:hint="default" w:ascii="Times New Roman" w:hAnsi="Times New Roman" w:eastAsia="仿宋_GB2312"/>
                <w:sz w:val="24"/>
              </w:rPr>
              <w:t>和</w:t>
            </w:r>
            <w:r>
              <w:rPr>
                <w:rFonts w:hint="eastAsia" w:ascii="Times New Roman" w:hAnsi="Times New Roman" w:eastAsia="仿宋_GB2312"/>
                <w:sz w:val="24"/>
              </w:rPr>
              <w:t>下网</w:t>
            </w:r>
            <w:r>
              <w:rPr>
                <w:rFonts w:hint="default" w:ascii="Times New Roman" w:hAnsi="Times New Roman" w:eastAsia="仿宋_GB2312"/>
                <w:sz w:val="24"/>
              </w:rPr>
              <w:t>的最大</w:t>
            </w:r>
            <w:r>
              <w:rPr>
                <w:rFonts w:hint="eastAsia" w:ascii="Times New Roman" w:hAnsi="Times New Roman" w:eastAsia="仿宋_GB2312"/>
                <w:sz w:val="24"/>
              </w:rPr>
              <w:t>交换功率</w:t>
            </w:r>
            <w:r>
              <w:rPr>
                <w:rFonts w:hint="default" w:ascii="Times New Roman" w:hAnsi="Times New Roman" w:eastAsia="仿宋_GB2312"/>
                <w:sz w:val="24"/>
              </w:rPr>
              <w:t>、年交换电量</w:t>
            </w:r>
          </w:p>
        </w:tc>
      </w:tr>
      <w:tr w14:paraId="61F8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4908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F8E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风光储互补智能微电网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7D8B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惯量支撑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B231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上升时间、控制偏差等指标</w:t>
            </w:r>
          </w:p>
        </w:tc>
      </w:tr>
      <w:tr w14:paraId="57DB7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34B8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74C7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C8F4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一次调频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7BD2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响应滞后时间、上升时间、调节时间、控制偏差等指标</w:t>
            </w:r>
          </w:p>
        </w:tc>
      </w:tr>
      <w:tr w14:paraId="07512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C616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0724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948F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无功电压控制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7D12C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上升时间、控制偏差等指标</w:t>
            </w:r>
          </w:p>
        </w:tc>
      </w:tr>
      <w:tr w14:paraId="7A820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D956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2C0A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AC10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故障穿越能力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58A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低电压、高电压、连续故障穿越不脱网并提供动态无功支撑指标</w:t>
            </w:r>
          </w:p>
        </w:tc>
      </w:tr>
      <w:tr w14:paraId="058AA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EE7F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F33A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AF25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频率适应性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B2E3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频率运行范围指标</w:t>
            </w:r>
          </w:p>
        </w:tc>
      </w:tr>
      <w:tr w14:paraId="40CF9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5653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C12F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AF36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电压适应性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1740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电压运行范围指标</w:t>
            </w:r>
          </w:p>
        </w:tc>
      </w:tr>
      <w:tr w14:paraId="7410D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6204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13B5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84B9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孤岛运行和黑启动能力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917E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孤岛运行</w:t>
            </w:r>
            <w:r>
              <w:rPr>
                <w:rFonts w:hint="eastAsia" w:ascii="Times New Roman" w:hAnsi="Times New Roman" w:eastAsia="仿宋_GB2312"/>
                <w:sz w:val="24"/>
              </w:rPr>
              <w:t>供电时长、运行参数，黑启动时间、功率、时长等指标</w:t>
            </w:r>
          </w:p>
        </w:tc>
      </w:tr>
      <w:tr w14:paraId="1020E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F9EC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B853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DB22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微电网电源、负荷及主网等故障状态适应性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383B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微电网保持正常运行，内部电源、负荷故障或切除的最大可接受范围</w:t>
            </w:r>
          </w:p>
        </w:tc>
      </w:tr>
      <w:tr w14:paraId="41BC9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9C55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AB53D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624D4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综合电压合格率提升（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088C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项目实施前后电压提升情况</w:t>
            </w:r>
          </w:p>
        </w:tc>
      </w:tr>
      <w:tr w14:paraId="273F3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5323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8E11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4668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频率合格率提升（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3F0A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项目实施前后频率提升情况</w:t>
            </w:r>
          </w:p>
        </w:tc>
      </w:tr>
      <w:tr w14:paraId="29FDC3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1052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2D84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6FF2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供电可靠率提升（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0B52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项目实施前后供电提升情况</w:t>
            </w:r>
          </w:p>
        </w:tc>
      </w:tr>
      <w:tr w14:paraId="7A03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ED0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EB4C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5594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微电网电源置信出力（95%置信水平）（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FF6E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43D3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48D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298B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源网荷储协同智能微电网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9D868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惯量支撑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30B9B"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上升时间、控制偏差等指标</w:t>
            </w:r>
          </w:p>
        </w:tc>
      </w:tr>
      <w:tr w14:paraId="0B37D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5EED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43B10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ECBD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孤岛运行</w:t>
            </w:r>
            <w:r>
              <w:rPr>
                <w:rFonts w:hint="eastAsia" w:ascii="Times New Roman" w:hAnsi="Times New Roman" w:eastAsia="仿宋_GB2312"/>
                <w:sz w:val="24"/>
              </w:rPr>
              <w:t>能力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1CD4B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离网重要负荷连续供电功率、时长等指标</w:t>
            </w:r>
          </w:p>
        </w:tc>
      </w:tr>
      <w:tr w14:paraId="679B3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2706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F115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1D909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自我调峰能力</w:t>
            </w:r>
          </w:p>
        </w:tc>
        <w:tc>
          <w:tcPr>
            <w:tcW w:w="45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4926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负荷、储能跟随新能源波动情况及微电网自平衡后净对外功率峰谷差</w:t>
            </w:r>
          </w:p>
        </w:tc>
      </w:tr>
      <w:tr w14:paraId="69DC1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BF92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背景与基础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4E43C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项目背景（风光储互补智能微电网简要介绍项目所在地供电现状、新能源建设条件及局部电力系统实际需求</w:t>
            </w:r>
            <w:r>
              <w:rPr>
                <w:rFonts w:hint="default" w:ascii="Times New Roman" w:hAnsi="Times New Roman" w:eastAsia="仿宋_GB2312"/>
                <w:sz w:val="24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</w:rPr>
              <w:t>源网荷储协同智能微电网简要介绍项目绿色能源应用场景、新能源建设条件等，分析地区新能源消纳情况及局部电力系统实际需求</w:t>
            </w:r>
            <w:r>
              <w:rPr>
                <w:rFonts w:hint="default" w:ascii="Times New Roman" w:hAnsi="Times New Roman" w:eastAsia="仿宋_GB2312"/>
                <w:sz w:val="24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</w:rPr>
              <w:t>阐述项目建设必要性</w:t>
            </w:r>
            <w:r>
              <w:rPr>
                <w:rFonts w:hint="default" w:ascii="Times New Roman" w:hAnsi="Times New Roman" w:eastAsia="仿宋_GB2312"/>
                <w:sz w:val="24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可另附页）</w:t>
            </w:r>
          </w:p>
        </w:tc>
      </w:tr>
      <w:tr w14:paraId="1F0F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BC9D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63C29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项目已开展的前期工作（简要介绍项目立项、纳规、核准/备案、限制因素排查、电网接入方案、用地手续、环评手续、节能审查、施工许可手续、投资测算经济性分析等前期工作基础</w:t>
            </w:r>
            <w:r>
              <w:rPr>
                <w:rFonts w:hint="default" w:ascii="Times New Roman" w:hAnsi="Times New Roman" w:eastAsia="仿宋_GB2312"/>
                <w:sz w:val="24"/>
              </w:rPr>
              <w:t>，负荷落实情况，现有负荷与当地电网企业沟通情况，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可另附页）</w:t>
            </w:r>
          </w:p>
        </w:tc>
      </w:tr>
      <w:tr w14:paraId="49A5E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E693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D8E63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  <w:r>
              <w:rPr>
                <w:rFonts w:hint="default" w:ascii="Times New Roman" w:hAnsi="Times New Roman" w:eastAsia="仿宋_GB2312"/>
                <w:sz w:val="24"/>
              </w:rPr>
              <w:t>业绩</w:t>
            </w:r>
            <w:r>
              <w:rPr>
                <w:rFonts w:hint="eastAsia" w:ascii="Times New Roman" w:hAnsi="Times New Roman" w:eastAsia="仿宋_GB2312"/>
                <w:sz w:val="24"/>
              </w:rPr>
              <w:t>（技术研发、融合创新、建设运营等能力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47473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6DAB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建设或改造方案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490C5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整体建设或改造方案（包括但不限于负荷调节能力分析、分布式电源建设方案、新型储能系统建设方案、配电系统建设方案、接入系统方案、微电网管控平台建设方案、微电网调峰能力与新能源消纳分析、对上级电网影响、财务分析等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4D71A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1A6D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9C461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default" w:ascii="Times New Roman" w:hAnsi="Times New Roman" w:eastAsia="仿宋_GB2312"/>
                <w:sz w:val="24"/>
              </w:rPr>
              <w:t>负荷</w:t>
            </w:r>
            <w:r>
              <w:rPr>
                <w:rFonts w:hint="eastAsia" w:ascii="Times New Roman" w:hAnsi="Times New Roman" w:eastAsia="仿宋_GB2312"/>
                <w:sz w:val="24"/>
              </w:rPr>
              <w:t>管理技术方案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52E75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7BAD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E8FC2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智能微电网一体化智能化调控运行系统技术方案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智能微电网源网荷储一体化运行模式分析，重点说明微电网自调峰、自平衡、友好并网实现方式，离网重要负荷保供能力等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，可另附页）</w:t>
            </w:r>
          </w:p>
        </w:tc>
      </w:tr>
      <w:tr w14:paraId="46719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0294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D1D30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sz w:val="24"/>
              </w:rPr>
              <w:t>风光储互补智能微电网供电可靠性、电网支撑能力提升技术方案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</w:rPr>
              <w:t>源网荷储协同智能微电网与主、配网协同融合技术方案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0311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0E47C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983E4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5.</w:t>
            </w:r>
            <w:r>
              <w:rPr>
                <w:rFonts w:hint="eastAsia" w:ascii="Times New Roman" w:hAnsi="Times New Roman" w:eastAsia="仿宋_GB2312"/>
                <w:sz w:val="24"/>
              </w:rPr>
              <w:t>智能微电网与主网协同调度控制技术方案</w:t>
            </w:r>
            <w:r>
              <w:rPr>
                <w:rFonts w:hint="default" w:ascii="Times New Roman" w:hAnsi="Times New Roman" w:eastAsia="仿宋_GB2312"/>
                <w:sz w:val="24"/>
              </w:rPr>
              <w:t>及</w:t>
            </w:r>
            <w:r>
              <w:rPr>
                <w:rFonts w:hint="eastAsia" w:ascii="Times New Roman" w:hAnsi="Times New Roman" w:eastAsia="仿宋_GB2312"/>
                <w:sz w:val="24"/>
              </w:rPr>
              <w:t>创新商业模式（可另附页）</w:t>
            </w:r>
          </w:p>
        </w:tc>
      </w:tr>
      <w:tr w14:paraId="2F39A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3ADBD"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保障措施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2D530">
            <w:pPr>
              <w:jc w:val="left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从加强统筹协调、加大政策支持、加强过程监督、完善并网接入和调度运行机制等方面提出保障措施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可另附页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4011F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1A4C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其它</w:t>
            </w:r>
          </w:p>
        </w:tc>
        <w:tc>
          <w:tcPr>
            <w:tcW w:w="7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A4F1F">
            <w:pPr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实施方案报告（如有，作为附件），重点针对具体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建设或改造方案、可行性论证、保障措施等方面进一步详细论述，并附相关支撑性文件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（如已取得，可提供电网公司并网接入许可等文件）</w:t>
            </w:r>
          </w:p>
        </w:tc>
      </w:tr>
      <w:tr w14:paraId="2A0ED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01A74">
            <w:pPr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2E246FBC">
            <w:pPr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本单位郑重承诺，本单位所提交的全部申报材料均真实、有效，如有虚假情况，愿意承担相应的责任。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列入试点后，严格落实项目方案，按期完成项目实施。</w:t>
            </w:r>
          </w:p>
          <w:p w14:paraId="6EF3AF08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623AE19C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729DEDCE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项目单位（盖章）       </w:t>
            </w:r>
          </w:p>
          <w:p w14:paraId="23FA398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7D2B682E">
            <w:pPr>
              <w:ind w:right="480"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470B2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08494">
            <w:pPr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6E0DE9AD">
            <w:pPr>
              <w:ind w:firstLine="1200" w:firstLineChars="500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</w:t>
            </w:r>
          </w:p>
          <w:p w14:paraId="7327F8BF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292C947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5B0C050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</w:p>
          <w:p w14:paraId="24D03A09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</w:t>
            </w:r>
            <w:r>
              <w:rPr>
                <w:rFonts w:hint="default" w:ascii="Times New Roman" w:hAnsi="Times New Roman" w:eastAsia="仿宋_GB2312"/>
                <w:sz w:val="24"/>
              </w:rPr>
              <w:t>地级市</w:t>
            </w:r>
          </w:p>
          <w:p w14:paraId="08EC9FBF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能源主管部门（盖章）   </w:t>
            </w:r>
          </w:p>
          <w:p w14:paraId="3C3CDF5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6CBE2A2E">
            <w:pPr>
              <w:ind w:right="48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22951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C493C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联系人：</w:t>
            </w:r>
          </w:p>
        </w:tc>
        <w:tc>
          <w:tcPr>
            <w:tcW w:w="3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4DDC1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联系电话：</w:t>
            </w:r>
          </w:p>
        </w:tc>
      </w:tr>
    </w:tbl>
    <w:p w14:paraId="70315531">
      <w:pPr>
        <w:adjustRightInd w:val="0"/>
        <w:snapToGrid w:val="0"/>
        <w:spacing w:line="580" w:lineRule="exact"/>
        <w:rPr>
          <w:rFonts w:ascii="Times New Roman" w:hAnsi="Times New Roman" w:eastAsia="黑体"/>
          <w:sz w:val="24"/>
        </w:rPr>
      </w:pPr>
      <w:r>
        <w:rPr>
          <w:rFonts w:hint="eastAsia" w:ascii="Times New Roman" w:hAnsi="Times New Roman" w:eastAsia="黑体"/>
          <w:sz w:val="24"/>
        </w:rPr>
        <w:t>填报说明：</w:t>
      </w:r>
    </w:p>
    <w:p w14:paraId="09B3DAC2">
      <w:pPr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kern w:val="0"/>
          <w:sz w:val="24"/>
        </w:rPr>
        <w:t>1.</w:t>
      </w:r>
      <w:r>
        <w:rPr>
          <w:rFonts w:hint="eastAsia" w:ascii="Times New Roman" w:hAnsi="Times New Roman" w:eastAsia="仿宋_GB2312" w:cs="Times New Roman"/>
          <w:kern w:val="0"/>
          <w:sz w:val="24"/>
        </w:rPr>
        <w:t>源网荷储协同智能微电网指在新能源资源丰富、用电负荷较大的地区，以实现新能源与负荷就地匹配、提升新能源消纳水平为目标的智能微电网项目。源网荷储协同智能微电网项目建设地点及应用场景若存在多个，请在填写栏内依次列举，包括但不限于工业园区、工商业用户、交通、建筑、农村等低碳用能。</w:t>
      </w:r>
    </w:p>
    <w:p w14:paraId="79419112">
      <w:pPr>
        <w:snapToGrid w:val="0"/>
        <w:spacing w:line="580" w:lineRule="exact"/>
        <w:rPr>
          <w:rFonts w:hint="eastAsia"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kern w:val="0"/>
          <w:sz w:val="24"/>
        </w:rPr>
        <w:t>2.</w:t>
      </w:r>
      <w:r>
        <w:rPr>
          <w:rFonts w:hint="eastAsia" w:ascii="Times New Roman" w:hAnsi="Times New Roman" w:eastAsia="仿宋_GB2312" w:cs="Times New Roman"/>
          <w:kern w:val="0"/>
          <w:sz w:val="24"/>
        </w:rPr>
        <w:t>风光储互补智能微电网指电网末端薄弱地区或大电网未覆盖地区，以风电、光伏等新能源为主要电源，可为地区负荷提供局部安全可靠绿色电力支撑的智能微电网项目。风光储互补智能微电网项目建设地点及应用场景若存在多个，请在填写栏内依次列举，包括但不限于边防哨所、农业牧业、海岛、偏远居民生活等电网难以覆盖区域用能，电网末端新能源富集远距离供电等。</w:t>
      </w:r>
    </w:p>
    <w:p w14:paraId="4D3761D7">
      <w:pPr>
        <w:snapToGrid w:val="0"/>
        <w:spacing w:line="580" w:lineRule="exact"/>
        <w:rPr>
          <w:rFonts w:hint="default" w:ascii="Times New Roman" w:hAnsi="Times New Roman" w:eastAsia="仿宋_GB2312"/>
          <w:kern w:val="0"/>
          <w:sz w:val="24"/>
        </w:rPr>
      </w:pPr>
    </w:p>
    <w:p w14:paraId="4C8824E3">
      <w:pPr>
        <w:snapToGrid w:val="0"/>
        <w:spacing w:line="580" w:lineRule="exact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</w:p>
    <w:p w14:paraId="0F42962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92578"/>
    <w:rsid w:val="336D0E65"/>
    <w:rsid w:val="7E7925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2023</Words>
  <Characters>2035</Characters>
  <Lines>0</Lines>
  <Paragraphs>0</Paragraphs>
  <TotalTime>0</TotalTime>
  <ScaleCrop>false</ScaleCrop>
  <LinksUpToDate>false</LinksUpToDate>
  <CharactersWithSpaces>2078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E8CA0E9A748D459B807C82F354B7E192_13</vt:lpwstr>
  </property>
</Properties>
</file>