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30E433">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textAlignment w:val="auto"/>
        <w:rPr>
          <w:sz w:val="28"/>
          <w:szCs w:val="18"/>
        </w:rPr>
      </w:pPr>
      <w:r>
        <w:rPr>
          <w:rFonts w:hint="eastAsia" w:ascii="方正黑体_GBK" w:hAnsi="方正黑体_GBK" w:eastAsia="方正黑体_GBK" w:cs="方正黑体_GBK"/>
          <w:sz w:val="28"/>
          <w:szCs w:val="18"/>
          <w:lang w:val="en-US" w:eastAsia="zh-CN"/>
        </w:rPr>
        <w:t>附件</w:t>
      </w:r>
    </w:p>
    <w:p w14:paraId="30CE88CB">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方正小标宋简体" w:eastAsia="方正小标宋简体"/>
          <w:sz w:val="32"/>
          <w:szCs w:val="32"/>
        </w:rPr>
      </w:pPr>
      <w:r>
        <w:rPr>
          <w:rFonts w:hint="eastAsia" w:ascii="方正小标宋简体" w:eastAsia="方正小标宋简体"/>
          <w:sz w:val="36"/>
          <w:szCs w:val="36"/>
        </w:rPr>
        <w:t>电力安全治理专项行动任务细化表</w:t>
      </w:r>
    </w:p>
    <w:tbl>
      <w:tblPr>
        <w:tblStyle w:val="16"/>
        <w:tblpPr w:leftFromText="180" w:rightFromText="180" w:vertAnchor="text" w:horzAnchor="page" w:tblpX="2011" w:tblpY="645"/>
        <w:tblOverlap w:val="never"/>
        <w:tblW w:w="127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45"/>
        <w:gridCol w:w="4800"/>
        <w:gridCol w:w="4937"/>
        <w:gridCol w:w="1783"/>
      </w:tblGrid>
      <w:tr w14:paraId="6E978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245"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35527D75">
            <w:pPr>
              <w:keepNext w:val="0"/>
              <w:keepLines w:val="0"/>
              <w:pageBreakBefore w:val="0"/>
              <w:widowControl/>
              <w:suppressLineNumbers w:val="0"/>
              <w:kinsoku/>
              <w:wordWrap/>
              <w:overflowPunct/>
              <w:topLinePunct w:val="0"/>
              <w:autoSpaceDE/>
              <w:autoSpaceDN/>
              <w:bidi w:val="0"/>
              <w:spacing w:line="400" w:lineRule="exact"/>
              <w:ind w:left="0" w:leftChars="0" w:firstLine="240" w:firstLineChars="100"/>
              <w:jc w:val="both"/>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章节</w:t>
            </w:r>
          </w:p>
        </w:tc>
        <w:tc>
          <w:tcPr>
            <w:tcW w:w="4800"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6903E3F2">
            <w:pPr>
              <w:keepNext w:val="0"/>
              <w:keepLines w:val="0"/>
              <w:pageBreakBefore w:val="0"/>
              <w:widowControl/>
              <w:suppressLineNumbers w:val="0"/>
              <w:kinsoku/>
              <w:wordWrap/>
              <w:overflowPunct/>
              <w:topLinePunct w:val="0"/>
              <w:autoSpaceDE/>
              <w:autoSpaceDN/>
              <w:bidi w:val="0"/>
              <w:spacing w:line="400" w:lineRule="exact"/>
              <w:ind w:firstLine="1680" w:firstLineChars="700"/>
              <w:jc w:val="both"/>
              <w:textAlignment w:val="center"/>
              <w:rPr>
                <w:rFonts w:hint="eastAsia" w:ascii="黑体" w:hAnsi="黑体" w:eastAsia="黑体" w:cs="黑体"/>
                <w:i w:val="0"/>
                <w:iCs w:val="0"/>
                <w:color w:val="000000"/>
                <w:sz w:val="24"/>
                <w:szCs w:val="24"/>
                <w:u w:val="none"/>
                <w:lang w:val="en-US"/>
              </w:rPr>
            </w:pPr>
            <w:r>
              <w:rPr>
                <w:rFonts w:hint="eastAsia" w:ascii="黑体" w:hAnsi="黑体" w:eastAsia="黑体" w:cs="黑体"/>
                <w:i w:val="0"/>
                <w:iCs w:val="0"/>
                <w:color w:val="000000"/>
                <w:kern w:val="0"/>
                <w:sz w:val="24"/>
                <w:szCs w:val="24"/>
                <w:u w:val="none"/>
                <w:lang w:val="en-US" w:eastAsia="zh-CN" w:bidi="ar"/>
              </w:rPr>
              <w:t>文件要求</w:t>
            </w:r>
          </w:p>
        </w:tc>
        <w:tc>
          <w:tcPr>
            <w:tcW w:w="4937" w:type="dxa"/>
            <w:tcBorders>
              <w:top w:val="single" w:color="000000" w:sz="4" w:space="0"/>
              <w:left w:val="single" w:color="000000" w:sz="4" w:space="0"/>
              <w:bottom w:val="single" w:color="000000" w:sz="4" w:space="0"/>
              <w:right w:val="single" w:color="000000" w:sz="4" w:space="0"/>
            </w:tcBorders>
            <w:shd w:val="clear" w:color="auto" w:fill="D9D9D9"/>
            <w:noWrap/>
            <w:vAlign w:val="center"/>
          </w:tcPr>
          <w:p w14:paraId="49BDA5D5">
            <w:pPr>
              <w:keepNext w:val="0"/>
              <w:keepLines w:val="0"/>
              <w:pageBreakBefore w:val="0"/>
              <w:widowControl/>
              <w:suppressLineNumbers w:val="0"/>
              <w:kinsoku/>
              <w:wordWrap/>
              <w:overflowPunct/>
              <w:topLinePunct w:val="0"/>
              <w:autoSpaceDE/>
              <w:autoSpaceDN/>
              <w:bidi w:val="0"/>
              <w:spacing w:line="400" w:lineRule="exact"/>
              <w:ind w:firstLine="1680" w:firstLineChars="700"/>
              <w:jc w:val="both"/>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检查核实内容</w:t>
            </w:r>
          </w:p>
        </w:tc>
        <w:tc>
          <w:tcPr>
            <w:tcW w:w="1783"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3AC37BA5">
            <w:pPr>
              <w:keepNext w:val="0"/>
              <w:keepLines w:val="0"/>
              <w:pageBreakBefore w:val="0"/>
              <w:widowControl/>
              <w:suppressLineNumbers w:val="0"/>
              <w:kinsoku/>
              <w:wordWrap/>
              <w:overflowPunct/>
              <w:topLinePunct w:val="0"/>
              <w:autoSpaceDE/>
              <w:autoSpaceDN/>
              <w:bidi w:val="0"/>
              <w:spacing w:line="400" w:lineRule="exact"/>
              <w:ind w:left="0" w:leftChars="0" w:firstLine="240" w:firstLineChars="100"/>
              <w:jc w:val="both"/>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涉及主体</w:t>
            </w:r>
          </w:p>
        </w:tc>
      </w:tr>
      <w:tr w14:paraId="1D7C3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246E92">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eastAsia" w:ascii="楷体" w:hAnsi="楷体" w:eastAsia="楷体" w:cs="楷体"/>
                <w:b w:val="0"/>
                <w:bCs w:val="0"/>
                <w:i w:val="0"/>
                <w:iCs w:val="0"/>
                <w:color w:val="000000"/>
                <w:kern w:val="0"/>
                <w:sz w:val="24"/>
                <w:szCs w:val="24"/>
                <w:u w:val="none"/>
                <w:lang w:val="en-US" w:eastAsia="zh-CN" w:bidi="ar"/>
              </w:rPr>
              <w:t>一、健全电力安全</w:t>
            </w:r>
            <w:bookmarkStart w:id="0" w:name="_GoBack"/>
            <w:bookmarkEnd w:id="0"/>
            <w:r>
              <w:rPr>
                <w:rFonts w:hint="eastAsia" w:ascii="楷体" w:hAnsi="楷体" w:eastAsia="楷体" w:cs="楷体"/>
                <w:b w:val="0"/>
                <w:bCs w:val="0"/>
                <w:i w:val="0"/>
                <w:iCs w:val="0"/>
                <w:color w:val="000000"/>
                <w:kern w:val="0"/>
                <w:sz w:val="24"/>
                <w:szCs w:val="24"/>
                <w:u w:val="none"/>
                <w:lang w:val="en-US" w:eastAsia="zh-CN" w:bidi="ar"/>
              </w:rPr>
              <w:t>治理体系</w:t>
            </w:r>
          </w:p>
        </w:tc>
      </w:tr>
      <w:tr w14:paraId="41476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C92ABB">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（一）强化组织领导体系</w:t>
            </w:r>
          </w:p>
        </w:tc>
      </w:tr>
      <w:tr w14:paraId="5ED34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BF07A">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5F37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严格落实中共中央办公厅、国务院办公厅印发的《地方党政领导干部安全生产责任制规定》要求，将电力安全治理工作纳入党委（党组）议事日程，定期研究重大问题。</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1842D">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地方能源主管部门推动地方各级政府将电力安全治理工作作为党委（党组）年度工作要点；是否有定期召开党委（党组）会议，研究电力安全治理相关议题。</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4BE5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地方能源主管部门</w:t>
            </w:r>
          </w:p>
        </w:tc>
      </w:tr>
      <w:tr w14:paraId="386B3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07A98">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2</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F049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通过提升议事协调层级等方式，更好发挥全国电力安全生产委员会和省级电力安全生产委员会（专委会）作用，研究解决新型电力系统安全治理相关重大问题。</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9BBE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省（区域）电力安全生产委员会（专委会）牵头单位采取相关举措提升议事协调层级情况。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D497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地方能源主管部门，派出机构</w:t>
            </w:r>
          </w:p>
        </w:tc>
      </w:tr>
      <w:tr w14:paraId="7A36B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51D8A">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3</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D698A">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各级各类电力安全生产委员会应当建立工作部署、通报督办和评价考核等工作机制，构建上下联动、互相支撑的电力安全治理组织体系。</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1427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省（区域）等各级各类电力安全生产委员会（专委会）、电力企业安全生产管理组织机构定期开展工作部署、通报督办和评价考核等情况。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22FC1">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地方能源主管部门，派出机构，电力企业</w:t>
            </w:r>
          </w:p>
        </w:tc>
      </w:tr>
      <w:tr w14:paraId="04E23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05F305">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（二）健全主体责任体系</w:t>
            </w:r>
          </w:p>
        </w:tc>
      </w:tr>
      <w:tr w14:paraId="481F7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A83BC">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4</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1F71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坚持团结治网，电网调度机构要严格履行并网管理、运行控制、风险管理、技术监督等安全职责。</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011C2">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电网企业及其调度机构依据相关法律法规严格履行并网管理、运行控制、风险管理、技术监督等安全职责情况。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7F447">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电网企业及其调度机构</w:t>
            </w:r>
          </w:p>
        </w:tc>
      </w:tr>
      <w:tr w14:paraId="36D9C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2D9A3">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5</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3287D">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电力企业和各类并网主体依法承担电力安全主体责任，按照谁投资、谁负责，谁运营、谁负责的原则，履行电力安全风险管控责任，保障自身设备安全可靠运行。</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E156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力企业及各类并网主体依据相关法律法规履行自身电力安全风险管控主体责任情况，是否有责任划分不清晰、含糊不清现象；是否认真组织制定并实施企业安全管理制度、定期开展安全检查，落实双重预防工作机制等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71027">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电力企业及各类并网主体</w:t>
            </w:r>
          </w:p>
        </w:tc>
      </w:tr>
      <w:tr w14:paraId="0E9F7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6"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0592D">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6</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7349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各责任主体应通过夯实物理基础、强化安全管理、加强科技创新等方式，按照技术规定提升系统友好能力，承担涉网安全义务，协同打造共同而有区别的新型电力系统安全责任体系。</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8868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各涉网责任主体及大用户通过夯实物理基础、强化安全管理、加强科技创新等相关举措提升系统友好能力情况；继电保护、安全稳定控制装置、通信设备等二次系统配置是否符合涉网要求，是否存在系统不友好行为现象。</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2.并网主体是否对照《电力系统安全稳定导则》《电力系统网源协调技术导则》以及风电、光伏、储能</w:t>
            </w:r>
            <w:r>
              <w:rPr>
                <w:rFonts w:hint="eastAsia" w:ascii="仿宋_GB2312" w:hAnsi="等线" w:cs="仿宋_GB2312"/>
                <w:i w:val="0"/>
                <w:iCs w:val="0"/>
                <w:color w:val="000000"/>
                <w:kern w:val="0"/>
                <w:sz w:val="24"/>
                <w:szCs w:val="24"/>
                <w:u w:val="none"/>
                <w:lang w:val="en-US" w:eastAsia="zh-CN" w:bidi="ar"/>
              </w:rPr>
              <w:t>等</w:t>
            </w:r>
            <w:r>
              <w:rPr>
                <w:rFonts w:hint="default" w:ascii="仿宋_GB2312" w:hAnsi="等线" w:eastAsia="仿宋_GB2312" w:cs="仿宋_GB2312"/>
                <w:i w:val="0"/>
                <w:iCs w:val="0"/>
                <w:color w:val="000000"/>
                <w:kern w:val="0"/>
                <w:sz w:val="24"/>
                <w:szCs w:val="24"/>
                <w:u w:val="none"/>
                <w:lang w:val="en-US" w:eastAsia="zh-CN" w:bidi="ar"/>
              </w:rPr>
              <w:t>相关的国家标准及行业标准等规定要求承担涉网安全义务。</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37E7D">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电力企业及各类并网主体，大用户</w:t>
            </w:r>
          </w:p>
        </w:tc>
      </w:tr>
      <w:tr w14:paraId="5317A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7F3488">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eastAsia" w:ascii="仿宋_GB2312" w:hAnsi="等线" w:eastAsia="仿宋_GB2312" w:cs="仿宋_GB2312"/>
                <w:i w:val="0"/>
                <w:iCs w:val="0"/>
                <w:color w:val="000000"/>
                <w:kern w:val="0"/>
                <w:sz w:val="24"/>
                <w:szCs w:val="24"/>
                <w:u w:val="none"/>
                <w:lang w:val="en-US" w:eastAsia="zh-CN" w:bidi="ar"/>
              </w:rPr>
              <w:t>（三）健全监督管理体系</w:t>
            </w:r>
          </w:p>
        </w:tc>
      </w:tr>
      <w:tr w14:paraId="5677A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906E7">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7</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867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按照管行业必须管安全、管业务必须管安全、管生产经营必须管安全的原则，推动明确行业监管、区域监管与地方监管职责。</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3433A">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1.地方能源主管部门推动明确行业主管部门电力安全生产管理职责，建立健全安全生产责任制，明确各级地方电力安全监管职责情况。</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2.对新兴行业、领域的电力安全生产监督管理职责不明确的，地方能源主管部门积极推动地方各级人民政府按照业务相近的原则确定监督管理部门情况。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33C4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kern w:val="0"/>
                <w:sz w:val="24"/>
                <w:szCs w:val="24"/>
                <w:u w:val="none"/>
                <w:lang w:val="en-US" w:eastAsia="zh-CN" w:bidi="ar"/>
              </w:rPr>
            </w:pPr>
            <w:r>
              <w:rPr>
                <w:rFonts w:hint="default" w:ascii="仿宋_GB2312" w:hAnsi="等线" w:eastAsia="仿宋_GB2312" w:cs="仿宋_GB2312"/>
                <w:i w:val="0"/>
                <w:iCs w:val="0"/>
                <w:color w:val="000000"/>
                <w:kern w:val="0"/>
                <w:sz w:val="24"/>
                <w:szCs w:val="24"/>
                <w:u w:val="none"/>
                <w:lang w:val="en-US" w:eastAsia="zh-CN" w:bidi="ar"/>
              </w:rPr>
              <w:t>地方能源主管部门</w:t>
            </w:r>
          </w:p>
          <w:p w14:paraId="10D6C19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kern w:val="0"/>
                <w:sz w:val="24"/>
                <w:szCs w:val="24"/>
                <w:u w:val="none"/>
                <w:lang w:val="en-US" w:eastAsia="zh-CN" w:bidi="ar"/>
              </w:rPr>
            </w:pPr>
          </w:p>
          <w:p w14:paraId="7042FEED">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kern w:val="0"/>
                <w:sz w:val="24"/>
                <w:szCs w:val="24"/>
                <w:u w:val="none"/>
                <w:lang w:val="en-US" w:eastAsia="zh-CN" w:bidi="ar"/>
              </w:rPr>
            </w:pPr>
          </w:p>
          <w:p w14:paraId="1245040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kern w:val="0"/>
                <w:sz w:val="24"/>
                <w:szCs w:val="24"/>
                <w:u w:val="none"/>
                <w:lang w:val="en-US" w:eastAsia="zh-CN" w:bidi="ar"/>
              </w:rPr>
            </w:pPr>
            <w:r>
              <w:rPr>
                <w:rFonts w:hint="default" w:ascii="仿宋_GB2312" w:hAnsi="等线" w:eastAsia="仿宋_GB2312" w:cs="仿宋_GB2312"/>
                <w:i w:val="0"/>
                <w:iCs w:val="0"/>
                <w:color w:val="000000"/>
                <w:kern w:val="0"/>
                <w:sz w:val="24"/>
                <w:szCs w:val="24"/>
                <w:u w:val="none"/>
                <w:lang w:val="en-US" w:eastAsia="zh-CN" w:bidi="ar"/>
              </w:rPr>
              <w:t>地方能源主管部门</w:t>
            </w:r>
          </w:p>
        </w:tc>
      </w:tr>
      <w:tr w14:paraId="12AFD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FD108">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8</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95E72">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完善电力安全监管权责清单，健全跨部门安全监管信息共享和联合监管工作机制，推动形成齐抓共管、各司其职的安全监管格局。</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CE399">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1.地方能源主管部门、派出机构是否建立并及时更新电力安全监管权责清单。</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2.地方能源主管部门、派出机构建立完善跨部门安全监管信息共享和联合监管工作机制情况。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58A21">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地方能源主管部门，派出机构</w:t>
            </w:r>
          </w:p>
        </w:tc>
      </w:tr>
      <w:tr w14:paraId="523F6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300D4">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9</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53D6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进一步落实跨区输电、跨省大坝、点对网送电等建设运行模式下对调度管理、运行维护、信息报送、事故调查的安全监管责任。</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C45C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国家能源局梳理检查跨区输电、跨省大坝、点对网送电等建设运行项目是否存在安全监管职责空白</w:t>
            </w:r>
            <w:r>
              <w:rPr>
                <w:rFonts w:hint="eastAsia" w:ascii="仿宋_GB2312" w:hAnsi="等线" w:cs="仿宋_GB2312"/>
                <w:i w:val="0"/>
                <w:iCs w:val="0"/>
                <w:color w:val="000000"/>
                <w:kern w:val="0"/>
                <w:sz w:val="24"/>
                <w:szCs w:val="24"/>
                <w:u w:val="none"/>
                <w:lang w:val="en-US" w:eastAsia="zh-CN" w:bidi="ar"/>
              </w:rPr>
              <w:t>或</w:t>
            </w:r>
            <w:r>
              <w:rPr>
                <w:rFonts w:hint="default" w:ascii="仿宋_GB2312" w:hAnsi="等线" w:eastAsia="仿宋_GB2312" w:cs="仿宋_GB2312"/>
                <w:i w:val="0"/>
                <w:iCs w:val="0"/>
                <w:color w:val="000000"/>
                <w:kern w:val="0"/>
                <w:sz w:val="24"/>
                <w:szCs w:val="24"/>
                <w:u w:val="none"/>
                <w:lang w:val="en-US" w:eastAsia="zh-CN" w:bidi="ar"/>
              </w:rPr>
              <w:t>不清晰的情况，</w:t>
            </w:r>
            <w:r>
              <w:rPr>
                <w:rFonts w:hint="eastAsia" w:ascii="仿宋_GB2312" w:hAnsi="等线" w:cs="仿宋_GB2312"/>
                <w:i w:val="0"/>
                <w:iCs w:val="0"/>
                <w:color w:val="000000"/>
                <w:kern w:val="0"/>
                <w:sz w:val="24"/>
                <w:szCs w:val="24"/>
                <w:u w:val="none"/>
                <w:lang w:val="en-US" w:eastAsia="zh-CN" w:bidi="ar"/>
              </w:rPr>
              <w:t>以及</w:t>
            </w:r>
            <w:r>
              <w:rPr>
                <w:rFonts w:hint="default" w:ascii="仿宋_GB2312" w:hAnsi="等线" w:eastAsia="仿宋_GB2312" w:cs="仿宋_GB2312"/>
                <w:i w:val="0"/>
                <w:iCs w:val="0"/>
                <w:color w:val="000000"/>
                <w:kern w:val="0"/>
                <w:sz w:val="24"/>
                <w:szCs w:val="24"/>
                <w:u w:val="none"/>
                <w:lang w:val="en-US" w:eastAsia="zh-CN" w:bidi="ar"/>
              </w:rPr>
              <w:t>推进明确安全监管责任情况。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6ED69">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w:t>
            </w:r>
          </w:p>
        </w:tc>
      </w:tr>
      <w:tr w14:paraId="466C1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2B6192">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（四）完善政策法规体系</w:t>
            </w:r>
          </w:p>
        </w:tc>
      </w:tr>
      <w:tr w14:paraId="16E8A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8F62A">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10</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6528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加快《电力安全事故应急处置和调查处理条例》（国务院令第599号）修订，健全完善特高压输电、配电网安全管理和电力设施安全防护等制度规范，针对性补强系统安全评估、新型并网主体涉网安全等监督管理政策措施。</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1129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国家能源局推动完善</w:t>
            </w:r>
            <w:r>
              <w:rPr>
                <w:rFonts w:hint="eastAsia" w:ascii="仿宋_GB2312" w:hAnsi="等线" w:cs="仿宋_GB2312"/>
                <w:i w:val="0"/>
                <w:iCs w:val="0"/>
                <w:color w:val="000000"/>
                <w:kern w:val="0"/>
                <w:sz w:val="24"/>
                <w:szCs w:val="24"/>
                <w:u w:val="none"/>
                <w:lang w:val="en-US" w:eastAsia="zh-CN" w:bidi="ar"/>
              </w:rPr>
              <w:t>599号令修订及</w:t>
            </w:r>
            <w:r>
              <w:rPr>
                <w:rFonts w:hint="default" w:ascii="仿宋_GB2312" w:hAnsi="等线" w:eastAsia="仿宋_GB2312" w:cs="仿宋_GB2312"/>
                <w:i w:val="0"/>
                <w:iCs w:val="0"/>
                <w:color w:val="000000"/>
                <w:kern w:val="0"/>
                <w:sz w:val="24"/>
                <w:szCs w:val="24"/>
                <w:u w:val="none"/>
                <w:lang w:val="en-US" w:eastAsia="zh-CN" w:bidi="ar"/>
              </w:rPr>
              <w:t>特高压输电、配电网安全管理和电力设施安全防护等制度规范相关举措，推动出台系统安全评估、新型并网主体涉网安全等</w:t>
            </w:r>
            <w:r>
              <w:rPr>
                <w:rFonts w:hint="eastAsia" w:ascii="仿宋_GB2312" w:hAnsi="等线" w:cs="仿宋_GB2312"/>
                <w:i w:val="0"/>
                <w:iCs w:val="0"/>
                <w:color w:val="000000"/>
                <w:kern w:val="0"/>
                <w:sz w:val="24"/>
                <w:szCs w:val="24"/>
                <w:u w:val="none"/>
                <w:lang w:val="en-US" w:eastAsia="zh-CN" w:bidi="ar"/>
              </w:rPr>
              <w:t>监督</w:t>
            </w:r>
            <w:r>
              <w:rPr>
                <w:rFonts w:hint="default" w:ascii="仿宋_GB2312" w:hAnsi="等线" w:eastAsia="仿宋_GB2312" w:cs="仿宋_GB2312"/>
                <w:i w:val="0"/>
                <w:iCs w:val="0"/>
                <w:color w:val="000000"/>
                <w:kern w:val="0"/>
                <w:sz w:val="24"/>
                <w:szCs w:val="24"/>
                <w:u w:val="none"/>
                <w:lang w:val="en-US" w:eastAsia="zh-CN" w:bidi="ar"/>
              </w:rPr>
              <w:t>管理政策相关</w:t>
            </w:r>
            <w:r>
              <w:rPr>
                <w:rFonts w:hint="eastAsia" w:ascii="仿宋_GB2312" w:hAnsi="等线" w:cs="仿宋_GB2312"/>
                <w:i w:val="0"/>
                <w:iCs w:val="0"/>
                <w:color w:val="000000"/>
                <w:kern w:val="0"/>
                <w:sz w:val="24"/>
                <w:szCs w:val="24"/>
                <w:u w:val="none"/>
                <w:lang w:val="en-US" w:eastAsia="zh-CN" w:bidi="ar"/>
              </w:rPr>
              <w:t>情况</w:t>
            </w:r>
            <w:r>
              <w:rPr>
                <w:rFonts w:hint="default" w:ascii="仿宋_GB2312" w:hAnsi="等线" w:eastAsia="仿宋_GB2312" w:cs="仿宋_GB2312"/>
                <w:i w:val="0"/>
                <w:iCs w:val="0"/>
                <w:color w:val="000000"/>
                <w:kern w:val="0"/>
                <w:sz w:val="24"/>
                <w:szCs w:val="24"/>
                <w:u w:val="none"/>
                <w:lang w:val="en-US" w:eastAsia="zh-CN" w:bidi="ar"/>
              </w:rPr>
              <w:t>。</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257F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w:t>
            </w:r>
          </w:p>
        </w:tc>
      </w:tr>
      <w:tr w14:paraId="27077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E6B11">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11</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5255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加强安全治理跨行业协同，推动在自然资源、森林消防、交通运输、市政建设等相关领域政策法规的制修订中充分考虑电力行业重大风险防范要求。</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0A57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国家能源局及相关部门推动建立完善针对密集通道、电力应急、设备管理等方面的跨行业协同机制情况。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91D3A">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w:t>
            </w:r>
          </w:p>
        </w:tc>
      </w:tr>
      <w:tr w14:paraId="2630E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DA7C47">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（五）优化标准规范体系</w:t>
            </w:r>
          </w:p>
        </w:tc>
      </w:tr>
      <w:tr w14:paraId="7624A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6"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50F2B">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12</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2E978">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强化对标准工作的顶层设计和统筹谋划，推动成立电力安全治理标准委员会，健全以强制性标准为主体、推荐性标准为补充、国行企团地各级标准协调发展的电力安全治理标准体系。</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BF906">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国家能源局及相关部门</w:t>
            </w:r>
            <w:r>
              <w:rPr>
                <w:rFonts w:hint="eastAsia" w:ascii="仿宋_GB2312" w:hAnsi="等线" w:cs="仿宋_GB2312"/>
                <w:i w:val="0"/>
                <w:iCs w:val="0"/>
                <w:color w:val="000000"/>
                <w:kern w:val="0"/>
                <w:sz w:val="24"/>
                <w:szCs w:val="24"/>
                <w:u w:val="none"/>
                <w:lang w:val="en-US" w:eastAsia="zh-CN" w:bidi="ar"/>
              </w:rPr>
              <w:t>推动</w:t>
            </w:r>
            <w:r>
              <w:rPr>
                <w:rFonts w:hint="default" w:ascii="仿宋_GB2312" w:hAnsi="等线" w:eastAsia="仿宋_GB2312" w:cs="仿宋_GB2312"/>
                <w:i w:val="0"/>
                <w:iCs w:val="0"/>
                <w:color w:val="000000"/>
                <w:kern w:val="0"/>
                <w:sz w:val="24"/>
                <w:szCs w:val="24"/>
                <w:u w:val="none"/>
                <w:lang w:val="en-US" w:eastAsia="zh-CN" w:bidi="ar"/>
              </w:rPr>
              <w:t>电力安全治理标准委员会建立情况。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7D987">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w:t>
            </w:r>
          </w:p>
        </w:tc>
      </w:tr>
      <w:tr w14:paraId="114BE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6"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9DAFD">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13</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215B6">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重点梳理涉网管理、运行控制、设备运维、网络安全等与电力安全强相关的标准规范清单，在规划设计阶段针对重点地区、特殊场景合理提升设防标准，对不符合灾害防控标准的既有设施进行改造或迁移，尽可能规避电力安全事故风险。</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B5838">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Style w:val="21"/>
                <w:rFonts w:hAnsi="等线"/>
                <w:sz w:val="24"/>
                <w:szCs w:val="24"/>
                <w:lang w:val="en-US" w:eastAsia="zh-CN" w:bidi="ar"/>
              </w:rPr>
              <w:t>1.国家能源局及相关部门针对重点地区、特殊场景进行标准规范适应性梳理分析，合理修订标准规范，因地制宜提升设防标准</w:t>
            </w:r>
            <w:r>
              <w:rPr>
                <w:rStyle w:val="21"/>
                <w:rFonts w:hint="eastAsia" w:hAnsi="等线"/>
                <w:sz w:val="24"/>
                <w:szCs w:val="24"/>
                <w:lang w:val="en-US" w:eastAsia="zh-CN" w:bidi="ar"/>
              </w:rPr>
              <w:t>。</w:t>
            </w:r>
            <w:r>
              <w:rPr>
                <w:rStyle w:val="21"/>
                <w:rFonts w:hAnsi="等线"/>
                <w:sz w:val="24"/>
                <w:szCs w:val="24"/>
                <w:lang w:val="en-US" w:eastAsia="zh-CN" w:bidi="ar"/>
              </w:rPr>
              <w:br w:type="textWrapping"/>
            </w:r>
            <w:r>
              <w:rPr>
                <w:rStyle w:val="21"/>
                <w:rFonts w:hAnsi="等线"/>
                <w:sz w:val="24"/>
                <w:szCs w:val="24"/>
                <w:lang w:val="en-US" w:eastAsia="zh-CN" w:bidi="ar"/>
              </w:rPr>
              <w:t>2.电力企业对不符合灾害防控标准的既有设施进行改造</w:t>
            </w:r>
            <w:r>
              <w:rPr>
                <w:rStyle w:val="21"/>
                <w:rFonts w:hint="eastAsia" w:hAnsi="等线"/>
                <w:sz w:val="24"/>
                <w:szCs w:val="24"/>
                <w:lang w:val="en-US" w:eastAsia="zh-CN" w:bidi="ar"/>
              </w:rPr>
              <w:t>、</w:t>
            </w:r>
            <w:r>
              <w:rPr>
                <w:rStyle w:val="21"/>
                <w:rFonts w:hAnsi="等线"/>
                <w:sz w:val="24"/>
                <w:szCs w:val="24"/>
                <w:lang w:val="en-US" w:eastAsia="zh-CN" w:bidi="ar"/>
              </w:rPr>
              <w:t>迁移</w:t>
            </w:r>
            <w:r>
              <w:rPr>
                <w:rStyle w:val="21"/>
                <w:rFonts w:hint="eastAsia" w:hAnsi="等线"/>
                <w:sz w:val="24"/>
                <w:szCs w:val="24"/>
                <w:lang w:val="en-US" w:eastAsia="zh-CN" w:bidi="ar"/>
              </w:rPr>
              <w:t>等</w:t>
            </w:r>
            <w:r>
              <w:rPr>
                <w:rStyle w:val="21"/>
                <w:rFonts w:hAnsi="等线"/>
                <w:sz w:val="24"/>
                <w:szCs w:val="24"/>
                <w:lang w:val="en-US" w:eastAsia="zh-CN" w:bidi="ar"/>
              </w:rPr>
              <w:t>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EA92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国家能源局，电力企业</w:t>
            </w:r>
          </w:p>
        </w:tc>
      </w:tr>
      <w:tr w14:paraId="1517B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B2A99">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14</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534E9">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建立反事故措施整改评估机制，强化各项措施落实，及时推动行业反事故措施重点条款向标准转化。</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7240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国家能源局及相关部门推动完善成熟反事故措施向标准规范转化情况。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C91B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w:t>
            </w:r>
          </w:p>
        </w:tc>
      </w:tr>
      <w:tr w14:paraId="5CE9B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0FD91B">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eastAsia" w:ascii="楷体" w:hAnsi="楷体" w:eastAsia="楷体" w:cs="楷体"/>
                <w:b w:val="0"/>
                <w:bCs w:val="0"/>
                <w:i w:val="0"/>
                <w:iCs w:val="0"/>
                <w:color w:val="000000"/>
                <w:kern w:val="0"/>
                <w:sz w:val="24"/>
                <w:szCs w:val="24"/>
                <w:u w:val="none"/>
                <w:lang w:val="en-US" w:eastAsia="zh-CN" w:bidi="ar"/>
              </w:rPr>
              <w:t>二、增强电力安全治理能力</w:t>
            </w:r>
          </w:p>
        </w:tc>
      </w:tr>
      <w:tr w14:paraId="4280F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27BC41">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（一）提升大电网风险管控能力</w:t>
            </w:r>
          </w:p>
        </w:tc>
      </w:tr>
      <w:tr w14:paraId="5A13D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5"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11FE0">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15</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8834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进一步加强新型电力系统安全特性研究，推进新能源涉网模型库统一管理与参数开放，掌握高比例可再生能源、高比例电力电子设备接入电力系统、特高压交直流混联运行的稳定机理和运行特征。</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9A99A">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1.电网企业及其调度机构加强新型电力系统安全特性研究，会同发电企业建立新能源涉网模型库情况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2.电网企业及其调度机构是否将所辖地区新能源并网逆变器的规模、种类纳入风险管理</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3.电网企业及其调度机构推进涉网模型库统一管理与参数开放情况。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26D3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电网企业及其调度机构，发电企业</w:t>
            </w:r>
          </w:p>
        </w:tc>
      </w:tr>
      <w:tr w14:paraId="522A2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4"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860E1">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16</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FD5C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强化规划阶段电网安全稳定计算分析，通过优化电源布局、完善电网结构、强化电网合理分区运行及黑启动能力等措施提升电网安全韧性，支持服务大型新能源基地规划建设，从源头消减大面积停电安全风险和隐患。</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20F7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1.电网企业及其调度机构是否在规划阶段开展电网安全稳定计算深入分析，形成规划阶段电网安全稳定计算分析专项报告，包含系统论证规划方案及过渡期安全稳定性等内容</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2.电网企业及其调度机构是否针对大型新能源基地开展安全稳定计算专项分析，并将分析结论应用于优化常规电源与新能源布局优化、电网结构完善等。</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0CFE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电网企业及其调度机构</w:t>
            </w:r>
          </w:p>
        </w:tc>
      </w:tr>
      <w:tr w14:paraId="5DCB0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49907">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17</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E709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充分发挥系统运行方式分析在风险评估和控制中的牵头抓总作用，提升大电网风险态势感知能力，科学安排运行方式，保持合理网架强度与安全裕度。动态开展稳控策略和控制限额核算，持续巩固和完善电力系统安全防御“三道防线”。</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0682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1.电网企业及其调度机构是否按要求做好系统运行方式分析报告工作并将所提风险管控任务落实到位</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2.电网企业及其调度机构是否动态开展稳定策略和控制限额核算，定期滚动更新完善电力系统安全防御“三道防线”策略设置。</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F316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电网企业及其调度机构</w:t>
            </w:r>
          </w:p>
        </w:tc>
      </w:tr>
      <w:tr w14:paraId="349BF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A189C">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18</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D481A">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健全大电网稳定破坏风险专项管控机制，围绕多回直流同时故障、重要输电通道全停、关键枢纽变电站（换流站）全停、负荷中心电压失稳、安控系统不正确动作等系统性重大风险，“一案一策”落实风险管控措施，确保大电网安全稳定运行。</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44AA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网企业及其调度机构是否围绕多回直流同时故障、重要输电通道全停、关键枢纽变电站（换流站）全停、负荷中心电压失稳、安控系统不正确动作等系统性重大风险，建立健全风险专项管控机制，“一案一策”落实风险管控措施。</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D86E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电网企业及其调度机构</w:t>
            </w:r>
          </w:p>
        </w:tc>
      </w:tr>
      <w:tr w14:paraId="0D232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B8925D">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（二）强化配电网风险管控能力</w:t>
            </w:r>
          </w:p>
        </w:tc>
      </w:tr>
      <w:tr w14:paraId="3B168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88EFB">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19</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E73F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健全配电网安全运行风险管控机制，推动大电网安全风险识别、监视、控制体系向配电网延伸。</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BC2E6">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1.电网企业及其调度机构推动大电网安全风险识别、监视、控制体系向配电网延伸相关情况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2.电网企业及其调度机构推动健全配电网安全风险管控机制相关</w:t>
            </w:r>
            <w:r>
              <w:rPr>
                <w:rFonts w:hint="eastAsia" w:ascii="仿宋_GB2312" w:hAnsi="等线" w:cs="仿宋_GB2312"/>
                <w:i w:val="0"/>
                <w:iCs w:val="0"/>
                <w:color w:val="000000"/>
                <w:kern w:val="0"/>
                <w:sz w:val="24"/>
                <w:szCs w:val="24"/>
                <w:u w:val="none"/>
                <w:lang w:val="en-US" w:eastAsia="zh-CN" w:bidi="ar"/>
              </w:rPr>
              <w:t>情况</w:t>
            </w:r>
            <w:r>
              <w:rPr>
                <w:rFonts w:hint="default" w:ascii="仿宋_GB2312" w:hAnsi="等线" w:eastAsia="仿宋_GB2312" w:cs="仿宋_GB2312"/>
                <w:i w:val="0"/>
                <w:iCs w:val="0"/>
                <w:color w:val="000000"/>
                <w:kern w:val="0"/>
                <w:sz w:val="24"/>
                <w:szCs w:val="24"/>
                <w:u w:val="none"/>
                <w:lang w:val="en-US" w:eastAsia="zh-CN" w:bidi="ar"/>
              </w:rPr>
              <w:t>。</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A60B6">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电网企业及其调度机构</w:t>
            </w:r>
          </w:p>
        </w:tc>
      </w:tr>
      <w:tr w14:paraId="79A7D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B83B0">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20</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2D68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深化有源配电网运行风险管控，加强并网管理，规范新能源涉网控制保护配置。完善配电网调度运行机制，推动各电压等级分布式新能源实现“可观、可测、可调、可控”，提升配电网资源调配、故障处理和用户供电快速恢复能力。加强设备双向重过载、电压越限等风险智能监视与预警，做好分布式电源出力及电压管控。</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0E4C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Style w:val="21"/>
                <w:rFonts w:hAnsi="等线"/>
                <w:sz w:val="24"/>
                <w:szCs w:val="24"/>
                <w:lang w:val="en-US" w:eastAsia="zh-CN" w:bidi="ar"/>
              </w:rPr>
              <w:t>1.电网企业及其调度机构在分布式新能源并网前开展涉网控制保护审核验收管理相关情况</w:t>
            </w:r>
            <w:r>
              <w:rPr>
                <w:rStyle w:val="21"/>
                <w:rFonts w:hint="eastAsia" w:hAnsi="等线"/>
                <w:sz w:val="24"/>
                <w:szCs w:val="24"/>
                <w:lang w:val="en-US" w:eastAsia="zh-CN" w:bidi="ar"/>
              </w:rPr>
              <w:t>。</w:t>
            </w:r>
            <w:r>
              <w:rPr>
                <w:rStyle w:val="21"/>
                <w:rFonts w:hAnsi="等线"/>
                <w:sz w:val="24"/>
                <w:szCs w:val="24"/>
                <w:lang w:val="en-US" w:eastAsia="zh-CN" w:bidi="ar"/>
              </w:rPr>
              <w:br w:type="textWrapping"/>
            </w:r>
            <w:r>
              <w:rPr>
                <w:rStyle w:val="21"/>
                <w:rFonts w:hAnsi="等线"/>
                <w:sz w:val="24"/>
                <w:szCs w:val="24"/>
                <w:lang w:val="en-US" w:eastAsia="zh-CN" w:bidi="ar"/>
              </w:rPr>
              <w:t>2.电网企业及其调度机构推动各电压等级分布式新能源“可观、可测、可调、可控”建设相关情况</w:t>
            </w:r>
            <w:r>
              <w:rPr>
                <w:rStyle w:val="21"/>
                <w:rFonts w:hint="eastAsia" w:hAnsi="等线"/>
                <w:sz w:val="24"/>
                <w:szCs w:val="24"/>
                <w:lang w:val="en-US" w:eastAsia="zh-CN" w:bidi="ar"/>
              </w:rPr>
              <w:t>。</w:t>
            </w:r>
            <w:r>
              <w:rPr>
                <w:rStyle w:val="21"/>
                <w:rFonts w:hAnsi="等线"/>
                <w:sz w:val="24"/>
                <w:szCs w:val="24"/>
                <w:lang w:val="en-US" w:eastAsia="zh-CN" w:bidi="ar"/>
              </w:rPr>
              <w:br w:type="textWrapping"/>
            </w:r>
            <w:r>
              <w:rPr>
                <w:rStyle w:val="21"/>
                <w:rFonts w:hAnsi="等线"/>
                <w:sz w:val="24"/>
                <w:szCs w:val="24"/>
                <w:lang w:val="en-US" w:eastAsia="zh-CN" w:bidi="ar"/>
              </w:rPr>
              <w:t>3.电网企业及其调度机构是否定期监视预警分布式电源引起的设备重过载、电压越限等情况。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5E9B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电网企业及其调度机构</w:t>
            </w:r>
          </w:p>
        </w:tc>
      </w:tr>
      <w:tr w14:paraId="1BB52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2"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E37A8">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21</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4EA56">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强化城中村、偏远农村地区薄弱区段及县域大范围停电风险管控，结合乡村全面振兴电力安全治理需求，强化农村电力供应新要素接入风险管控，健全新要素并网调度、安全施工、运行维护等标准规范要求，全力保障民生用电安全可靠和惠民工程安全落地。</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A699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Style w:val="21"/>
                <w:rFonts w:hAnsi="等线"/>
                <w:sz w:val="24"/>
                <w:szCs w:val="24"/>
                <w:lang w:val="en-US" w:eastAsia="zh-CN" w:bidi="ar"/>
              </w:rPr>
              <w:t>1.电网企业针对网架薄弱县域电网开展专项风险管控，形成风险管控报告，制定针对性网架、设备等改造升级相关情况</w:t>
            </w:r>
            <w:r>
              <w:rPr>
                <w:rStyle w:val="21"/>
                <w:rFonts w:hint="eastAsia" w:hAnsi="等线"/>
                <w:sz w:val="24"/>
                <w:szCs w:val="24"/>
                <w:lang w:val="en-US" w:eastAsia="zh-CN" w:bidi="ar"/>
              </w:rPr>
              <w:t>。</w:t>
            </w:r>
            <w:r>
              <w:rPr>
                <w:rStyle w:val="21"/>
                <w:rFonts w:hAnsi="等线"/>
                <w:sz w:val="24"/>
                <w:szCs w:val="24"/>
                <w:lang w:val="en-US" w:eastAsia="zh-CN" w:bidi="ar"/>
              </w:rPr>
              <w:br w:type="textWrapping"/>
            </w:r>
            <w:r>
              <w:rPr>
                <w:rStyle w:val="21"/>
                <w:rFonts w:hAnsi="等线"/>
                <w:sz w:val="24"/>
                <w:szCs w:val="24"/>
                <w:lang w:val="en-US" w:eastAsia="zh-CN" w:bidi="ar"/>
              </w:rPr>
              <w:t>2.电网企业及其调度机构针对乡村全面振兴下新要素接入农村电网开展安全风险分析并制定安全风险管控措施情况。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A6F76">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电网企业及其调度机构</w:t>
            </w:r>
          </w:p>
        </w:tc>
      </w:tr>
      <w:tr w14:paraId="7D519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430D9C">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（三）提升发电侧风险管控能力</w:t>
            </w:r>
          </w:p>
        </w:tc>
      </w:tr>
      <w:tr w14:paraId="49397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2"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2560D">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22</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F7471">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加强新工况下发电机组安全风险管控，深化火电超低排放和“三改联动”机组安全管理，重点强化延寿运行、应急转备用等新场景以及深度调峰、频繁启停、快速爬坡、绿色低碳燃料掺烧等新工况下安全风险管控，补强风险监测手段，细化检修运维策略，优化机组调度运行方式，持续降低机组非停受阻水平。</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925F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发电企业加强新工况下发电机组安全风险管控相关</w:t>
            </w:r>
            <w:r>
              <w:rPr>
                <w:rFonts w:hint="eastAsia" w:ascii="仿宋_GB2312" w:hAnsi="等线" w:cs="仿宋_GB2312"/>
                <w:i w:val="0"/>
                <w:iCs w:val="0"/>
                <w:color w:val="000000"/>
                <w:kern w:val="0"/>
                <w:sz w:val="24"/>
                <w:szCs w:val="24"/>
                <w:u w:val="none"/>
                <w:lang w:val="en-US" w:eastAsia="zh-CN" w:bidi="ar"/>
              </w:rPr>
              <w:t>情况</w:t>
            </w:r>
            <w:r>
              <w:rPr>
                <w:rFonts w:hint="default" w:ascii="仿宋_GB2312" w:hAnsi="等线" w:eastAsia="仿宋_GB2312" w:cs="仿宋_GB2312"/>
                <w:i w:val="0"/>
                <w:iCs w:val="0"/>
                <w:color w:val="000000"/>
                <w:kern w:val="0"/>
                <w:sz w:val="24"/>
                <w:szCs w:val="24"/>
                <w:u w:val="none"/>
                <w:lang w:val="en-US" w:eastAsia="zh-CN" w:bidi="ar"/>
              </w:rPr>
              <w:t>，是否定期开展火电超低排放和“三改联动”等新工况下火电机组安全风险分析评估和风险管控。</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3337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发电企业</w:t>
            </w:r>
          </w:p>
        </w:tc>
      </w:tr>
      <w:tr w14:paraId="50DDB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E5722">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23</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63A82">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加强发电厂全停隐患排查治理，建立完善供煤、供水、供气、核电冷源等环节隐患排查及防范机制，避免非电因素引发全厂停电事故。</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71C1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Style w:val="21"/>
                <w:rFonts w:hAnsi="等线"/>
                <w:sz w:val="24"/>
                <w:szCs w:val="24"/>
                <w:lang w:val="en-US" w:eastAsia="zh-CN" w:bidi="ar"/>
              </w:rPr>
              <w:t>1.发电企业加强全停隐患排查治理情况。</w:t>
            </w:r>
            <w:r>
              <w:rPr>
                <w:rStyle w:val="21"/>
                <w:rFonts w:hAnsi="等线"/>
                <w:sz w:val="24"/>
                <w:szCs w:val="24"/>
                <w:lang w:val="en-US" w:eastAsia="zh-CN" w:bidi="ar"/>
              </w:rPr>
              <w:br w:type="textWrapping"/>
            </w:r>
            <w:r>
              <w:rPr>
                <w:rStyle w:val="21"/>
                <w:rFonts w:hAnsi="等线"/>
                <w:sz w:val="24"/>
                <w:szCs w:val="24"/>
                <w:lang w:val="en-US" w:eastAsia="zh-CN" w:bidi="ar"/>
              </w:rPr>
              <w:t>2.发电企业推动制定非电因素隐患清单情况，是否定期针对供煤、供水、供气、核电冷源等非电因素开展隐患排查治理。</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B635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发电企业</w:t>
            </w:r>
          </w:p>
        </w:tc>
      </w:tr>
      <w:tr w14:paraId="28C6E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C94EA">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24</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D1E4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加强新能源及新型储能等新型并网主体涉网安全管理，通过提升涉网安全性能、加强涉网参数管理、优化并网接入服务、强化并网运行管理等措施，提升调度机构并网安全管理水平。</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D68B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1.通过检查新能源及新型储能等新型并网主体的涉网安全管理制度、涉网性能试验报告等，检查发电企业及各类并网主体涉网安全管理情况。</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2.电网企业及其调度机构强化涉网安全性能、加强涉网参数管理、优化并网接入服务、强化并网运行管理等相关措施情况。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3300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发电企业及各类并网主体，电网企业及其调度机构</w:t>
            </w:r>
          </w:p>
        </w:tc>
      </w:tr>
      <w:tr w14:paraId="1EC65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0E8CE">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25</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5B578">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完善水电站大坝防汛调度、安全定期检查、安全注册登记、信息化建设等制度，加强病险大坝的除险加固和隐患排查治理。加强水电站大坝安全监测、风险分析和隐患治理，强化高坝大库、抽蓄电站安全性评估能力。</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C6791">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大坝运营单位是否定期开展水电站大坝安全性能分析，以及病险大坝的除险加固和隐患排查治理，落实水电站大坝防汛调度、安全注册登记等制度</w:t>
            </w:r>
            <w:r>
              <w:rPr>
                <w:rFonts w:hint="eastAsia" w:ascii="仿宋_GB2312" w:hAnsi="等线" w:cs="仿宋_GB2312"/>
                <w:i w:val="0"/>
                <w:iCs w:val="0"/>
                <w:color w:val="000000"/>
                <w:kern w:val="0"/>
                <w:sz w:val="24"/>
                <w:szCs w:val="24"/>
                <w:u w:val="none"/>
                <w:lang w:val="en-US" w:eastAsia="zh-CN" w:bidi="ar"/>
              </w:rPr>
              <w:t>情况</w:t>
            </w:r>
            <w:r>
              <w:rPr>
                <w:rFonts w:hint="default" w:ascii="仿宋_GB2312" w:hAnsi="等线" w:eastAsia="仿宋_GB2312" w:cs="仿宋_GB2312"/>
                <w:i w:val="0"/>
                <w:iCs w:val="0"/>
                <w:color w:val="000000"/>
                <w:kern w:val="0"/>
                <w:sz w:val="24"/>
                <w:szCs w:val="24"/>
                <w:u w:val="none"/>
                <w:lang w:val="en-US" w:eastAsia="zh-CN" w:bidi="ar"/>
              </w:rPr>
              <w:t>。</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7600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eastAsia" w:ascii="仿宋_GB2312" w:hAnsi="等线" w:cs="仿宋_GB2312"/>
                <w:i w:val="0"/>
                <w:iCs w:val="0"/>
                <w:color w:val="000000"/>
                <w:kern w:val="0"/>
                <w:sz w:val="24"/>
                <w:szCs w:val="24"/>
                <w:u w:val="none"/>
                <w:lang w:val="en-US" w:eastAsia="zh-CN" w:bidi="ar"/>
              </w:rPr>
              <w:t>电力企业</w:t>
            </w:r>
          </w:p>
        </w:tc>
      </w:tr>
      <w:tr w14:paraId="32C4A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31CF65">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（四）强化用电侧涉网风险管控能力</w:t>
            </w:r>
          </w:p>
        </w:tc>
      </w:tr>
      <w:tr w14:paraId="51A33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2"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231B6">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26</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4568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加强用户侧涉网风险管控，电网企业严格开展用户接入系统的安全可靠性审查，督促用户按标准配置继电保护和安全自动装置，落实电网低频低压减负荷等稳定控制要求，按规定开展接入谐波评估和谐波治理，深入评估用户侧站内设备故障等威胁电网安全的风险，对用户提出管控要求。</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E7701">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1.电网企业是否严格开展用户接入系统安全审查，评估用户侧威胁电网安全的风险，形成用户侧涉网安全风险分析报告</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2.电网企业通过技术监督、现场检查指导等方式督促用户落实国家及行业安全相关要求，按规定开展接入谐波评估和谐波治理的情况。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613F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电网企业</w:t>
            </w:r>
          </w:p>
        </w:tc>
      </w:tr>
      <w:tr w14:paraId="56DFD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4"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7A500">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27</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E09E2D1">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bottom"/>
              <w:rPr>
                <w:rFonts w:hint="default" w:ascii="仿宋_GB2312" w:hAnsi="等线" w:eastAsia="仿宋_GB2312" w:cs="仿宋_GB2312"/>
                <w:i w:val="0"/>
                <w:iCs w:val="0"/>
                <w:color w:val="000000"/>
                <w:kern w:val="0"/>
                <w:sz w:val="24"/>
                <w:szCs w:val="24"/>
                <w:u w:val="none"/>
                <w:lang w:val="en-US" w:eastAsia="zh-CN" w:bidi="ar"/>
              </w:rPr>
            </w:pPr>
          </w:p>
          <w:p w14:paraId="2C5C70C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bottom"/>
              <w:rPr>
                <w:rFonts w:hint="default" w:ascii="仿宋_GB2312" w:hAnsi="等线" w:eastAsia="仿宋_GB2312" w:cs="仿宋_GB2312"/>
                <w:i w:val="0"/>
                <w:iCs w:val="0"/>
                <w:color w:val="000000"/>
                <w:kern w:val="0"/>
                <w:sz w:val="24"/>
                <w:szCs w:val="24"/>
                <w:u w:val="none"/>
                <w:lang w:val="en-US" w:eastAsia="zh-CN" w:bidi="ar"/>
              </w:rPr>
            </w:pPr>
            <w:r>
              <w:rPr>
                <w:rFonts w:hint="default" w:ascii="仿宋_GB2312" w:hAnsi="等线" w:eastAsia="仿宋_GB2312" w:cs="仿宋_GB2312"/>
                <w:i w:val="0"/>
                <w:iCs w:val="0"/>
                <w:color w:val="000000"/>
                <w:kern w:val="0"/>
                <w:sz w:val="24"/>
                <w:szCs w:val="24"/>
                <w:u w:val="none"/>
                <w:lang w:val="en-US" w:eastAsia="zh-CN" w:bidi="ar"/>
              </w:rPr>
              <w:t>调度机构加强用户涉网控制保护配置及参数的技术监督，指导用户合理制定相关运行方式及参数，督促用户落实各项反事故措施要求，引导用户积极参与需求侧响应，提升系统安全调节能力。</w:t>
            </w:r>
          </w:p>
          <w:p w14:paraId="5DA0847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bottom"/>
              <w:rPr>
                <w:rFonts w:hint="default" w:ascii="仿宋_GB2312" w:hAnsi="等线" w:eastAsia="仿宋_GB2312" w:cs="仿宋_GB2312"/>
                <w:i w:val="0"/>
                <w:iCs w:val="0"/>
                <w:color w:val="000000"/>
                <w:kern w:val="0"/>
                <w:sz w:val="24"/>
                <w:szCs w:val="24"/>
                <w:u w:val="none"/>
                <w:lang w:val="en-US" w:eastAsia="zh-CN" w:bidi="ar"/>
              </w:rPr>
            </w:pP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F4F18">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Style w:val="21"/>
                <w:rFonts w:hAnsi="等线"/>
                <w:sz w:val="24"/>
                <w:szCs w:val="24"/>
                <w:lang w:val="en-US" w:eastAsia="zh-CN" w:bidi="ar"/>
              </w:rPr>
              <w:t>1.电网企业</w:t>
            </w:r>
            <w:r>
              <w:rPr>
                <w:rStyle w:val="21"/>
                <w:rFonts w:hint="eastAsia" w:hAnsi="等线"/>
                <w:sz w:val="24"/>
                <w:szCs w:val="24"/>
                <w:lang w:val="en-US" w:eastAsia="zh-CN" w:bidi="ar"/>
              </w:rPr>
              <w:t>及其调度机构</w:t>
            </w:r>
            <w:r>
              <w:rPr>
                <w:rStyle w:val="21"/>
                <w:rFonts w:hAnsi="等线"/>
                <w:sz w:val="24"/>
                <w:szCs w:val="24"/>
                <w:lang w:val="en-US" w:eastAsia="zh-CN" w:bidi="ar"/>
              </w:rPr>
              <w:t>加强用户侧涉网风险技术监督相关情况</w:t>
            </w:r>
            <w:r>
              <w:rPr>
                <w:rStyle w:val="21"/>
                <w:rFonts w:hint="eastAsia" w:hAnsi="等线"/>
                <w:sz w:val="24"/>
                <w:szCs w:val="24"/>
                <w:lang w:val="en-US" w:eastAsia="zh-CN" w:bidi="ar"/>
              </w:rPr>
              <w:t>。</w:t>
            </w:r>
            <w:r>
              <w:rPr>
                <w:rStyle w:val="21"/>
                <w:rFonts w:hAnsi="等线"/>
                <w:sz w:val="24"/>
                <w:szCs w:val="24"/>
                <w:lang w:val="en-US" w:eastAsia="zh-CN" w:bidi="ar"/>
              </w:rPr>
              <w:br w:type="textWrapping"/>
            </w:r>
            <w:r>
              <w:rPr>
                <w:rStyle w:val="21"/>
                <w:rFonts w:hAnsi="等线"/>
                <w:sz w:val="24"/>
                <w:szCs w:val="24"/>
                <w:lang w:val="en-US" w:eastAsia="zh-CN" w:bidi="ar"/>
              </w:rPr>
              <w:t>2.电网企业</w:t>
            </w:r>
            <w:r>
              <w:rPr>
                <w:rStyle w:val="21"/>
                <w:rFonts w:hint="eastAsia" w:hAnsi="等线"/>
                <w:sz w:val="24"/>
                <w:szCs w:val="24"/>
                <w:lang w:val="en-US" w:eastAsia="zh-CN" w:bidi="ar"/>
              </w:rPr>
              <w:t>及其调度机构</w:t>
            </w:r>
            <w:r>
              <w:rPr>
                <w:rStyle w:val="21"/>
                <w:rFonts w:hAnsi="等线"/>
                <w:sz w:val="24"/>
                <w:szCs w:val="24"/>
                <w:lang w:val="en-US" w:eastAsia="zh-CN" w:bidi="ar"/>
              </w:rPr>
              <w:t>指导用户合理制定相关运行方式及参数，督促用户落实相关反事故措施要求，引导用户积极参与需求侧响应情况。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48E0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lang w:val="en-US"/>
              </w:rPr>
            </w:pPr>
            <w:r>
              <w:rPr>
                <w:rFonts w:hint="default" w:ascii="仿宋_GB2312" w:hAnsi="等线" w:eastAsia="仿宋_GB2312" w:cs="仿宋_GB2312"/>
                <w:i w:val="0"/>
                <w:iCs w:val="0"/>
                <w:color w:val="000000"/>
                <w:kern w:val="0"/>
                <w:sz w:val="24"/>
                <w:szCs w:val="24"/>
                <w:u w:val="none"/>
                <w:lang w:val="en-US" w:eastAsia="zh-CN" w:bidi="ar"/>
              </w:rPr>
              <w:t>电网企业</w:t>
            </w:r>
            <w:r>
              <w:rPr>
                <w:rFonts w:hint="eastAsia" w:ascii="仿宋_GB2312" w:hAnsi="等线" w:cs="仿宋_GB2312"/>
                <w:i w:val="0"/>
                <w:iCs w:val="0"/>
                <w:color w:val="000000"/>
                <w:kern w:val="0"/>
                <w:sz w:val="24"/>
                <w:szCs w:val="24"/>
                <w:u w:val="none"/>
                <w:lang w:val="en-US" w:eastAsia="zh-CN" w:bidi="ar"/>
              </w:rPr>
              <w:t>及其调度机构</w:t>
            </w:r>
          </w:p>
        </w:tc>
      </w:tr>
      <w:tr w14:paraId="041FF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37C1C">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28</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80F97">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地方电力主管部门应建立用户侧涉网风险治理机制，组织用户落实风险管控措施，消除安全隐患。</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B4437">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地方能源主管部门是否建立完善用户侧涉网风险治理机制，</w:t>
            </w:r>
            <w:r>
              <w:rPr>
                <w:rFonts w:hint="eastAsia" w:ascii="仿宋_GB2312" w:hAnsi="等线" w:cs="仿宋_GB2312"/>
                <w:i w:val="0"/>
                <w:iCs w:val="0"/>
                <w:color w:val="000000"/>
                <w:kern w:val="0"/>
                <w:sz w:val="24"/>
                <w:szCs w:val="24"/>
                <w:u w:val="none"/>
                <w:lang w:val="en-US" w:eastAsia="zh-CN" w:bidi="ar"/>
              </w:rPr>
              <w:t>以及</w:t>
            </w:r>
            <w:r>
              <w:rPr>
                <w:rFonts w:hint="default" w:ascii="仿宋_GB2312" w:hAnsi="等线" w:eastAsia="仿宋_GB2312" w:cs="仿宋_GB2312"/>
                <w:i w:val="0"/>
                <w:iCs w:val="0"/>
                <w:color w:val="000000"/>
                <w:kern w:val="0"/>
                <w:sz w:val="24"/>
                <w:szCs w:val="24"/>
                <w:u w:val="none"/>
                <w:lang w:val="en-US" w:eastAsia="zh-CN" w:bidi="ar"/>
              </w:rPr>
              <w:t>会同电网企业</w:t>
            </w:r>
            <w:r>
              <w:rPr>
                <w:rFonts w:hint="eastAsia" w:ascii="仿宋_GB2312" w:hAnsi="等线" w:cs="仿宋_GB2312"/>
                <w:i w:val="0"/>
                <w:iCs w:val="0"/>
                <w:color w:val="000000"/>
                <w:kern w:val="0"/>
                <w:sz w:val="24"/>
                <w:szCs w:val="24"/>
                <w:u w:val="none"/>
                <w:lang w:val="en-US" w:eastAsia="zh-CN" w:bidi="ar"/>
              </w:rPr>
              <w:t>组织好</w:t>
            </w:r>
            <w:r>
              <w:rPr>
                <w:rFonts w:hint="default" w:ascii="仿宋_GB2312" w:hAnsi="等线" w:eastAsia="仿宋_GB2312" w:cs="仿宋_GB2312"/>
                <w:i w:val="0"/>
                <w:iCs w:val="0"/>
                <w:color w:val="000000"/>
                <w:kern w:val="0"/>
                <w:sz w:val="24"/>
                <w:szCs w:val="24"/>
                <w:u w:val="none"/>
                <w:lang w:val="en-US" w:eastAsia="zh-CN" w:bidi="ar"/>
              </w:rPr>
              <w:t>用户落实风险管控</w:t>
            </w:r>
            <w:r>
              <w:rPr>
                <w:rFonts w:hint="eastAsia" w:ascii="仿宋_GB2312" w:hAnsi="等线" w:cs="仿宋_GB2312"/>
                <w:i w:val="0"/>
                <w:iCs w:val="0"/>
                <w:color w:val="000000"/>
                <w:kern w:val="0"/>
                <w:sz w:val="24"/>
                <w:szCs w:val="24"/>
                <w:u w:val="none"/>
                <w:lang w:val="en-US" w:eastAsia="zh-CN" w:bidi="ar"/>
              </w:rPr>
              <w:t>措施情况</w:t>
            </w:r>
            <w:r>
              <w:rPr>
                <w:rFonts w:hint="default" w:ascii="仿宋_GB2312" w:hAnsi="等线" w:eastAsia="仿宋_GB2312" w:cs="仿宋_GB2312"/>
                <w:i w:val="0"/>
                <w:iCs w:val="0"/>
                <w:color w:val="000000"/>
                <w:kern w:val="0"/>
                <w:sz w:val="24"/>
                <w:szCs w:val="24"/>
                <w:u w:val="none"/>
                <w:lang w:val="en-US" w:eastAsia="zh-CN" w:bidi="ar"/>
              </w:rPr>
              <w:t>。</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6070A">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地方能源主管部门，电网企业</w:t>
            </w:r>
          </w:p>
        </w:tc>
      </w:tr>
      <w:tr w14:paraId="712A6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1C6E1E">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（五）加强设备安全管理和工程质量监督能力</w:t>
            </w:r>
          </w:p>
        </w:tc>
      </w:tr>
      <w:tr w14:paraId="533C1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09EB2">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29</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6D83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加强设备质量安全监督管理，推动电力设备质量跨部门联合监管机制有效运转，加强联合执法。将设备可靠性指标、质量监督检查报告等纳入电力设备质量安全风险监测平台、国家能源局资质和信用系统，实现信息共享和风险联合监测。</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004AA">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1.地方能源主管部门会同派出机构强化电力设备质量安全联合监管情况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2.电力企业及时准确将电力设备可靠性指标、质量监督检查报告纳入电力设备质量安全风险监测平台、国家能源局资质和信用系统情况。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D89C6">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地方能源主管部门，派出机构，电力企业</w:t>
            </w:r>
          </w:p>
        </w:tc>
      </w:tr>
      <w:tr w14:paraId="3A6E6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7AE1C">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30</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D2831">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探索建立设备质量安全“黑名单”和重大缺陷电力设备“召回”制度，落实设备质量安全风险闭环管控。围绕设备可靠性提升、防灾减灾建设等方向，推进电力设备大规模更新改造。</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6569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1.电力企业建立设备质量安全“黑名单”和重大缺陷电力设备“召回”制度的情况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2.电力企业围绕设备可靠性提升、防灾减灾建设等方向，推进电力设备大规模更新改造情况。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047DA">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电力企业</w:t>
            </w:r>
          </w:p>
        </w:tc>
      </w:tr>
      <w:tr w14:paraId="4E3D5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43AB0">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31</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10D8B5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bottom"/>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进一步完善电力建设工程质量监督管理制度和分类监督管理机制，明确监督职责、方式、范围等要求。实施高标准、最严格的电力工程质量管理，严防工程质量安全隐患导致电力安全事故发生。</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934C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1.国家能源局建立完善电力建设工程质量监督管理制度和分类监督管理机制情况。</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2.电力企业落实电力建设工作质量监督制度，确保电力工程质量的情况。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2C1D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国家能源局，电力企业</w:t>
            </w:r>
          </w:p>
        </w:tc>
      </w:tr>
      <w:tr w14:paraId="4AF32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734369">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（六）深化电力监控系统安全防护能力</w:t>
            </w:r>
          </w:p>
        </w:tc>
      </w:tr>
      <w:tr w14:paraId="35427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89851">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32</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75481">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落实电力监控系统安全防护有关法规要求，严格管控电力监控系统的安全分区部署，重点加强新并网主体、新业务形态的分区管控，根据发展规模和新技术应用，及时优化调整分区防护策略、落实整改措施，杜绝违规分区。</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25C0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电力企业按照《电力监控系统安全防护规定》等相关要求，落实电力监控系统网络安全防护情况。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F82ED">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电力企业</w:t>
            </w:r>
          </w:p>
        </w:tc>
      </w:tr>
      <w:tr w14:paraId="771B2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42B99">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33</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385D7A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bottom"/>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强化电力监控系统供应链安全与内生安全，优先采用安全可信产品，推广供应链全环节可信管理措施，增强产业链供应链风险防控能力，打造自主可控、安全可靠的电力网信基础设施供应链，加强漏洞隐患闭环管控；落实系统本体安全加固要求，通过开发设计与配置等手段构建系统内生安全属性，逐步建立系统本体安全免疫能力。</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FDCF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1.电力企业按要求提升电力监控系统关键环节国产化水平，增强产业链供应链风险管控情况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2.电力企业加强电力监控系统漏洞隐患闭环管控情况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3.电力企业是否按照国家及行业法规标准落实系统本体安全加固要求。</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D32A8">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电力企业</w:t>
            </w:r>
          </w:p>
        </w:tc>
      </w:tr>
      <w:tr w14:paraId="500BD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2F452">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34</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00C7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建立健全电力监控系统网络安全监测预警机制，丰富监测采集手段，扩展监测覆盖范围，进一步提高网络安全态势感知水平和应急处置能力。</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D2850">
            <w:pPr>
              <w:keepNext w:val="0"/>
              <w:keepLines w:val="0"/>
              <w:pageBreakBefore w:val="0"/>
              <w:widowControl/>
              <w:numPr>
                <w:ilvl w:val="0"/>
                <w:numId w:val="0"/>
              </w:numPr>
              <w:suppressLineNumbers w:val="0"/>
              <w:kinsoku/>
              <w:wordWrap/>
              <w:overflowPunct/>
              <w:topLinePunct w:val="0"/>
              <w:autoSpaceDE/>
              <w:autoSpaceDN/>
              <w:bidi w:val="0"/>
              <w:spacing w:line="400" w:lineRule="exact"/>
              <w:ind w:leftChars="0"/>
              <w:jc w:val="left"/>
              <w:textAlignment w:val="center"/>
              <w:rPr>
                <w:rFonts w:hint="default" w:ascii="仿宋_GB2312" w:hAnsi="等线" w:eastAsia="仿宋_GB2312" w:cs="仿宋_GB2312"/>
                <w:i w:val="0"/>
                <w:iCs w:val="0"/>
                <w:color w:val="000000"/>
                <w:kern w:val="0"/>
                <w:sz w:val="24"/>
                <w:szCs w:val="24"/>
                <w:u w:val="none"/>
                <w:lang w:val="en-US" w:eastAsia="zh-CN" w:bidi="ar"/>
              </w:rPr>
            </w:pPr>
            <w:r>
              <w:rPr>
                <w:rFonts w:hint="eastAsia" w:ascii="仿宋_GB2312" w:hAnsi="等线" w:eastAsia="仿宋_GB2312" w:cs="仿宋_GB2312"/>
                <w:i w:val="0"/>
                <w:iCs w:val="0"/>
                <w:color w:val="000000"/>
                <w:kern w:val="0"/>
                <w:sz w:val="24"/>
                <w:szCs w:val="24"/>
                <w:u w:val="none"/>
                <w:lang w:val="en-US" w:eastAsia="zh-CN" w:bidi="ar"/>
              </w:rPr>
              <w:t>1.</w:t>
            </w:r>
            <w:r>
              <w:rPr>
                <w:rFonts w:hint="default" w:ascii="仿宋_GB2312" w:hAnsi="等线" w:eastAsia="仿宋_GB2312" w:cs="仿宋_GB2312"/>
                <w:i w:val="0"/>
                <w:iCs w:val="0"/>
                <w:color w:val="000000"/>
                <w:kern w:val="0"/>
                <w:sz w:val="24"/>
                <w:szCs w:val="24"/>
                <w:u w:val="none"/>
                <w:lang w:val="en-US" w:eastAsia="zh-CN" w:bidi="ar"/>
              </w:rPr>
              <w:t>电力企业建立健全电力监控系统网络安全监测预警机制，实时监视分析电力监控系统网络安全运行状态及可疑行为</w:t>
            </w:r>
            <w:r>
              <w:rPr>
                <w:rFonts w:hint="eastAsia" w:ascii="仿宋_GB2312" w:hAnsi="等线" w:cs="仿宋_GB2312"/>
                <w:i w:val="0"/>
                <w:iCs w:val="0"/>
                <w:color w:val="000000"/>
                <w:kern w:val="0"/>
                <w:sz w:val="24"/>
                <w:szCs w:val="24"/>
                <w:u w:val="none"/>
                <w:lang w:val="en-US" w:eastAsia="zh-CN" w:bidi="ar"/>
              </w:rPr>
              <w:t>的情况。</w:t>
            </w:r>
          </w:p>
          <w:p w14:paraId="785F40BD">
            <w:pPr>
              <w:keepNext w:val="0"/>
              <w:keepLines w:val="0"/>
              <w:pageBreakBefore w:val="0"/>
              <w:widowControl/>
              <w:numPr>
                <w:ilvl w:val="0"/>
                <w:numId w:val="0"/>
              </w:numPr>
              <w:suppressLineNumbers w:val="0"/>
              <w:kinsoku/>
              <w:wordWrap/>
              <w:overflowPunct/>
              <w:topLinePunct w:val="0"/>
              <w:autoSpaceDE/>
              <w:autoSpaceDN/>
              <w:bidi w:val="0"/>
              <w:spacing w:line="400" w:lineRule="exact"/>
              <w:ind w:left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2.电力企业是否及时将告警信息同步传送至相应电力调度机构。</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12927">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电力企业</w:t>
            </w:r>
          </w:p>
        </w:tc>
      </w:tr>
      <w:tr w14:paraId="63950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D0396F">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（七）加强电力应急能力</w:t>
            </w:r>
          </w:p>
        </w:tc>
      </w:tr>
      <w:tr w14:paraId="49899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2AAEC">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35</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45272">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健全电力行业应急指挥协调机制，优化中央与地方分级响应机制，明确各级各类突发事件响应程序。完善应急预案体系，修订国家及各级政府大面积停电事件应急预案，将新型并网主体纳入应急组织体系。电力企业应充分考虑分布式电源对配电网的支撑作用，修编完善应急预案和现场处置方案，进一步加强与各级政府应急预案的衔接。</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A359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1.地方能源主管部门推动地方政府是否按照国家要求及时修订完善本行政区域大面积停电事件应急预案的情况，将新型并网主体纳入应急组织体系情况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2.电力企业是否按照相关要求及时修编完善应急预案和现场处置方案的情况，是否充分考虑分布式电源对配电网的支撑作用，加强与各级政府应急预案的衔接。</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2E1A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地方能源主管部门，电力企业</w:t>
            </w:r>
          </w:p>
        </w:tc>
      </w:tr>
      <w:tr w14:paraId="189567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25E93">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36</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D2996">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加强气象信息和自然灾害风险监测，提高临灾预报预警和应急响应联动能力。建立应急处置后评估及反馈机制，指导电力企业与重要用户科学提升防灾减灾救灾能力。</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38FE1">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1.地方能源主管部门、派出机构、电力企业主动会同气象等相关部门加强气象信息和自然灾害风险监测，提高临灾预报预警和应急响应联动能力相关情况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2.地方能源主管部门会同派出机构是否及时指导督促电力企业与重要用户科学提升防灾减灾救灾能力。</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3690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地方能源主管部门，派出机构，电力企业</w:t>
            </w:r>
          </w:p>
        </w:tc>
      </w:tr>
      <w:tr w14:paraId="4B279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2"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ECB00">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37</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46622">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增强跨区域联合处置能力，依托国家级电力应急基地和研究中心，加快开展适应新型电力系统的应急救援力量规模、布局、装备配备和基础设施建设。健全京津冀、长三角、粤港澳大湾区等跨区应急救援资源共享及联合处置机制，提升重点区域突发事件的协同应对实战能力。</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2616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1.国家能源局及相关部门依托国家级电力应急基地和研究中心，加快开展适应新型电力系统的应急救援力量规模、布局、装备配备和基础设施建设情况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2.国家能源局及相关部门健全京津冀、长三角、粤港澳大湾区等跨区应急救援资源共享及联合处置机制情况。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9D3B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kern w:val="0"/>
                <w:sz w:val="24"/>
                <w:szCs w:val="24"/>
                <w:u w:val="none"/>
                <w:lang w:val="en-US" w:eastAsia="zh-CN" w:bidi="ar"/>
              </w:rPr>
            </w:pPr>
            <w:r>
              <w:rPr>
                <w:rFonts w:hint="default" w:ascii="仿宋_GB2312" w:hAnsi="等线" w:eastAsia="仿宋_GB2312" w:cs="仿宋_GB2312"/>
                <w:i w:val="0"/>
                <w:iCs w:val="0"/>
                <w:color w:val="000000"/>
                <w:kern w:val="0"/>
                <w:sz w:val="24"/>
                <w:szCs w:val="24"/>
                <w:u w:val="none"/>
                <w:lang w:val="en-US" w:eastAsia="zh-CN" w:bidi="ar"/>
              </w:rPr>
              <w:t>国家能源局</w:t>
            </w:r>
            <w:r>
              <w:rPr>
                <w:rFonts w:hint="eastAsia" w:ascii="仿宋_GB2312" w:hAnsi="等线" w:cs="仿宋_GB2312"/>
                <w:i w:val="0"/>
                <w:iCs w:val="0"/>
                <w:color w:val="000000"/>
                <w:kern w:val="0"/>
                <w:sz w:val="24"/>
                <w:szCs w:val="24"/>
                <w:u w:val="none"/>
                <w:lang w:val="en-US" w:eastAsia="zh-CN" w:bidi="ar"/>
              </w:rPr>
              <w:t>，</w:t>
            </w:r>
          </w:p>
          <w:p w14:paraId="4F94071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eastAsia" w:ascii="仿宋_GB2312" w:hAnsi="等线" w:cs="仿宋_GB2312"/>
                <w:i w:val="0"/>
                <w:iCs w:val="0"/>
                <w:color w:val="000000"/>
                <w:kern w:val="0"/>
                <w:sz w:val="24"/>
                <w:szCs w:val="24"/>
                <w:u w:val="none"/>
                <w:lang w:val="en-US" w:eastAsia="zh-CN" w:bidi="ar"/>
              </w:rPr>
              <w:t>相关</w:t>
            </w:r>
            <w:r>
              <w:rPr>
                <w:rFonts w:hint="default" w:ascii="仿宋_GB2312" w:hAnsi="等线" w:eastAsia="仿宋_GB2312" w:cs="仿宋_GB2312"/>
                <w:i w:val="0"/>
                <w:iCs w:val="0"/>
                <w:color w:val="000000"/>
                <w:kern w:val="0"/>
                <w:sz w:val="24"/>
                <w:szCs w:val="24"/>
                <w:u w:val="none"/>
                <w:lang w:val="en-US" w:eastAsia="zh-CN" w:bidi="ar"/>
              </w:rPr>
              <w:t>地方能源主管部门，派出机构，电力企业</w:t>
            </w:r>
          </w:p>
        </w:tc>
      </w:tr>
      <w:tr w14:paraId="6B61C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5666A0">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eastAsia" w:ascii="楷体" w:hAnsi="楷体" w:eastAsia="楷体" w:cs="楷体"/>
                <w:b w:val="0"/>
                <w:bCs w:val="0"/>
                <w:i w:val="0"/>
                <w:iCs w:val="0"/>
                <w:color w:val="000000"/>
                <w:kern w:val="0"/>
                <w:sz w:val="24"/>
                <w:szCs w:val="24"/>
                <w:u w:val="none"/>
                <w:lang w:val="en-US" w:eastAsia="zh-CN" w:bidi="ar"/>
              </w:rPr>
              <w:t>三、完善电力安全治理措施</w:t>
            </w:r>
          </w:p>
        </w:tc>
      </w:tr>
      <w:tr w14:paraId="5F8BE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0D113">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（一）坚持统一调度</w:t>
            </w:r>
          </w:p>
        </w:tc>
      </w:tr>
      <w:tr w14:paraId="3A02D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4B464">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38</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397E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严肃调度纪律，各类并网主体应依法依规履行涉网安全责任，服从调度管理。调度机构严格落实标准规程要求，科学安排运行方式、强化定值及涉网参数管理、实施调控运行，杜绝违章作业，确保电网安全稳定运行。</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D4CFD">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1.各类并网主体依法依规履行涉网安全责任，服从调度管理情况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2.调度机构严格落实标准规程要求，包括科学安排运行方式、强化定值及涉网参数管理、实施调控运行等情况。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9803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调度机构，各类并网主体</w:t>
            </w:r>
          </w:p>
        </w:tc>
      </w:tr>
      <w:tr w14:paraId="1E3AE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72"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6E823">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39</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753E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细化对水风光储多能互补、流域水电综合开发等新业态调度管理要求，厘清调管界面。提升主配网一体化安全高效协同管理能力，增强海量新型并网主体调控能力，推动新型并网主体纳入调度管理范畴。</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8BFF6">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1.调度机构针对水风光储多能互补、流域水电综合开发等新业态是否建立相关调度管理制度，调度权责划分是否明确</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2.电网企业及其调度机构推动建立主配网一体化安全高效协同管理机制，将新型并网主体纳入调度管理</w:t>
            </w:r>
            <w:r>
              <w:rPr>
                <w:rFonts w:hint="eastAsia" w:ascii="仿宋_GB2312" w:hAnsi="等线" w:cs="仿宋_GB2312"/>
                <w:i w:val="0"/>
                <w:iCs w:val="0"/>
                <w:color w:val="000000"/>
                <w:kern w:val="0"/>
                <w:sz w:val="24"/>
                <w:szCs w:val="24"/>
                <w:u w:val="none"/>
                <w:lang w:val="en-US" w:eastAsia="zh-CN" w:bidi="ar"/>
              </w:rPr>
              <w:t>情况</w:t>
            </w:r>
            <w:r>
              <w:rPr>
                <w:rFonts w:hint="default" w:ascii="仿宋_GB2312" w:hAnsi="等线" w:eastAsia="仿宋_GB2312" w:cs="仿宋_GB2312"/>
                <w:i w:val="0"/>
                <w:iCs w:val="0"/>
                <w:color w:val="000000"/>
                <w:kern w:val="0"/>
                <w:sz w:val="24"/>
                <w:szCs w:val="24"/>
                <w:u w:val="none"/>
                <w:lang w:val="en-US" w:eastAsia="zh-CN" w:bidi="ar"/>
              </w:rPr>
              <w:t>。</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DCF1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调度机构</w:t>
            </w:r>
          </w:p>
        </w:tc>
      </w:tr>
      <w:tr w14:paraId="7A8EC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A9BEB">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40</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163C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深化电网调度运行与电力市场交易组织的衔接，严格开展安全校核，保障市场环境下电力系统的安全可控。</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AE0BA">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Style w:val="21"/>
                <w:rFonts w:hAnsi="等线"/>
                <w:sz w:val="24"/>
                <w:szCs w:val="24"/>
                <w:lang w:val="en-US" w:eastAsia="zh-CN" w:bidi="ar"/>
              </w:rPr>
              <w:t>调度机构是否建立完善针对各类电力市场交易的安全校核制度，</w:t>
            </w:r>
            <w:r>
              <w:rPr>
                <w:rStyle w:val="21"/>
                <w:rFonts w:hint="eastAsia" w:hAnsi="等线"/>
                <w:sz w:val="24"/>
                <w:szCs w:val="24"/>
                <w:lang w:val="en-US" w:eastAsia="zh-CN" w:bidi="ar"/>
              </w:rPr>
              <w:t>以及</w:t>
            </w:r>
            <w:r>
              <w:rPr>
                <w:rStyle w:val="21"/>
                <w:rFonts w:hAnsi="等线"/>
                <w:sz w:val="24"/>
                <w:szCs w:val="24"/>
                <w:lang w:val="en-US" w:eastAsia="zh-CN" w:bidi="ar"/>
              </w:rPr>
              <w:t>开展相关工作情况。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FFD8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调度机构</w:t>
            </w:r>
          </w:p>
        </w:tc>
      </w:tr>
      <w:tr w14:paraId="044F7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16C25">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（二）深化双重预防机制</w:t>
            </w:r>
          </w:p>
        </w:tc>
      </w:tr>
      <w:tr w14:paraId="5B719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69BF8">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41</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CB1A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深化电力安全风险分级管控，健全适用于新型电力系统的风险识别、定级、监视和控制等全过程管控机制，将新型并网主体纳入风险管控范畴，明确各方风险管控责任。</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D215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1.电网企业及其调度机构、各类并网主体是否落实《电网安全风险管控办法》要求，采取相关措施健全适用于新型电力系统的风险识别、定级、监视和控制等全过程管控机制情况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2.电力企业是否将新型并网主体纳入风险管控范畴。</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07124">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电网企业、各类并网主体</w:t>
            </w:r>
          </w:p>
        </w:tc>
      </w:tr>
      <w:tr w14:paraId="5B378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25657">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42</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F8EA1">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充分认识新技术应用风险的不确定性和复杂性，从新技术研发阶段开始建立安全风险全过程评估管控机制，建立面向全行业的新技术安全风险监测和报告制度，有效管控新技术研发应用给电力系统安全稳定运行带来的风险。</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C3F1D">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1.电力企业对新技术应用是否同步建立相关风险管控机制，相关重大问题是否向国家能源局报告</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2.国家能源局推动制定面向全行业的新技术安全风险监测和报告制度情况。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BBD96">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国家能源局，电力企业</w:t>
            </w:r>
          </w:p>
        </w:tc>
      </w:tr>
      <w:tr w14:paraId="64052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1F86A">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43</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C3917">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强化电力安全隐患排查治理，研究出台新型电力系统重大事故隐患判定标准，建立健全覆盖全行业的电力重大事故隐患数据库，从规划设计、建设施工、设备运维等各环节开展隐患整治，严格落实重大事故隐患挂牌督办机制，确保重大隐患动态清零。</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B36F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1.国家能源局完善新型电力系统重大事故隐患判定标准情况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2.国家能源局推动建立电力重大事故隐患数据库情况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3.地方能源主管部门、派出机构落实重大事故隐患挂牌督办机制情况，是否实现重大隐患动态清零。</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924E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国家能源局，地方能源主管部门，派出机构</w:t>
            </w:r>
          </w:p>
        </w:tc>
      </w:tr>
      <w:tr w14:paraId="6E814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48794">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（三）加强技术监督</w:t>
            </w:r>
          </w:p>
        </w:tc>
      </w:tr>
      <w:tr w14:paraId="4BB67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C65D6">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44</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EEF6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国家能源局及其派出机构、地方政府电力管理部门应健全完善电力行业技术监督体系，积极培育电力行业技术服务市场，有效发挥市场化技术监督对电力安全的支撑作用。</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0871D">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Style w:val="21"/>
                <w:rFonts w:hAnsi="等线"/>
                <w:sz w:val="24"/>
                <w:szCs w:val="24"/>
                <w:lang w:val="en-US" w:eastAsia="zh-CN" w:bidi="ar"/>
              </w:rPr>
              <w:t>国家能源局、地方能源主管部门、派出机构推动完善电力行业技术监督体系相关政策举措</w:t>
            </w:r>
            <w:r>
              <w:rPr>
                <w:rStyle w:val="21"/>
                <w:rFonts w:hint="eastAsia" w:hAnsi="等线"/>
                <w:sz w:val="24"/>
                <w:szCs w:val="24"/>
                <w:lang w:val="en-US" w:eastAsia="zh-CN" w:bidi="ar"/>
              </w:rPr>
              <w:t>及</w:t>
            </w:r>
            <w:r>
              <w:rPr>
                <w:rStyle w:val="21"/>
                <w:rFonts w:hAnsi="等线"/>
                <w:sz w:val="24"/>
                <w:szCs w:val="24"/>
                <w:lang w:val="en-US" w:eastAsia="zh-CN" w:bidi="ar"/>
              </w:rPr>
              <w:t>出台积极培育技术服务市场相关指导意见</w:t>
            </w:r>
            <w:r>
              <w:rPr>
                <w:rStyle w:val="21"/>
                <w:rFonts w:hint="eastAsia" w:hAnsi="等线"/>
                <w:sz w:val="24"/>
                <w:szCs w:val="24"/>
                <w:lang w:val="en-US" w:eastAsia="zh-CN" w:bidi="ar"/>
              </w:rPr>
              <w:t>情况</w:t>
            </w:r>
            <w:r>
              <w:rPr>
                <w:rStyle w:val="21"/>
                <w:rFonts w:hAnsi="等线"/>
                <w:sz w:val="24"/>
                <w:szCs w:val="24"/>
                <w:lang w:val="en-US" w:eastAsia="zh-CN" w:bidi="ar"/>
              </w:rPr>
              <w:t>。</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E1A4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国家能源局及其派出机构，地方能源主管部门</w:t>
            </w:r>
          </w:p>
        </w:tc>
      </w:tr>
      <w:tr w14:paraId="5833D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AC311">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45</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B306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电力企业及相关电力用户应建立健全技术监督组织机构、制度标准，配备满足技术监督要求的人员、装备及相关资源，规范开展本单位技术监督工作。</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2AEDD">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电力企业及相关电力用户是否建立健全技术监督组织机构、制度标准，是否配备满足技术监督要求的人员、装备及相关资源，是否规范开展本单位技术监督工作。</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3428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电力企业及相关电力用户</w:t>
            </w:r>
          </w:p>
        </w:tc>
      </w:tr>
      <w:tr w14:paraId="3921B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7"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647AA">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46</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39F4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夯实涉网技术监督机制，电网调度机构应按规定落实涉网安全技术监督管理职责，定期开展涉网安全检查与指导，加强调管范围内电力企业及相关电力用户二次系统、监控系统技术监督工作。</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B9876">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1.电网企业及其调度机构履行涉网安全技术监督管理职责，定期开展涉网安全检查与指导情况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2.电网企业及其调度机构针对调管范围内电力企业及用户的二次系统和监控系统的技术监督相关举措。</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AC0C1">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电网企业及其调度机构</w:t>
            </w:r>
          </w:p>
        </w:tc>
      </w:tr>
      <w:tr w14:paraId="684DE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25339">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（四）健全协同和联动机制</w:t>
            </w:r>
          </w:p>
        </w:tc>
      </w:tr>
      <w:tr w14:paraId="34E3D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E2564">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47</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9F13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持续深化源网协同，完善并网电厂涉网安全管理联席会议机制和网络安全联席会议机制，加强电网调度机构与电力企业、各并网主体的风险协同管控。</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07A5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1.国家能源局</w:t>
            </w:r>
            <w:r>
              <w:rPr>
                <w:rFonts w:hint="eastAsia" w:ascii="仿宋_GB2312" w:hAnsi="等线" w:cs="仿宋_GB2312"/>
                <w:i w:val="0"/>
                <w:iCs w:val="0"/>
                <w:color w:val="000000"/>
                <w:kern w:val="0"/>
                <w:sz w:val="24"/>
                <w:szCs w:val="24"/>
                <w:u w:val="none"/>
                <w:lang w:val="en-US" w:eastAsia="zh-CN" w:bidi="ar"/>
              </w:rPr>
              <w:t>及其派出机构</w:t>
            </w:r>
            <w:r>
              <w:rPr>
                <w:rFonts w:hint="default" w:ascii="仿宋_GB2312" w:hAnsi="等线" w:eastAsia="仿宋_GB2312" w:cs="仿宋_GB2312"/>
                <w:i w:val="0"/>
                <w:iCs w:val="0"/>
                <w:color w:val="000000"/>
                <w:kern w:val="0"/>
                <w:sz w:val="24"/>
                <w:szCs w:val="24"/>
                <w:u w:val="none"/>
                <w:lang w:val="en-US" w:eastAsia="zh-CN" w:bidi="ar"/>
              </w:rPr>
              <w:t>组织开展并网电厂涉网安全管理联席会议机制和网络安全联席会议情况。</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2.派出机构完善并网电厂涉网安全管理联席会议机制情况，是否将各类涉网主体纳入相关会议机制。</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C6A65">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国家能源局及其派出机构</w:t>
            </w:r>
          </w:p>
        </w:tc>
      </w:tr>
      <w:tr w14:paraId="1E58D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4"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6F2FC">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48</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10DAD">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深化跨部门联动，将关键枢纽变电站、换流站等重大基础设施电力安全风险管控纳入联防联控机制，加强与公安、住建、应急、自然资源、林草、气象等部门的协同，定期会商研判，有效管控并消除外力破坏、山火、极端天气、地质灾害等重大风险隐患。</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86902">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1.地方能源主管部门是否将关键枢纽变电站、换流站等重大基础设施纳入联合防控机制，实现跨部门协同风险管控</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2.地方能源主管部门加强与公安、住建、应急、自然资源、林草、气象等部门的协同，定期会商研判，组织电力企业有效管控并消除外力破坏、山火、极端天气、地质灾害等重大风险隐患情况。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FEC8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地方能源主管部门，电力企业</w:t>
            </w:r>
          </w:p>
        </w:tc>
      </w:tr>
      <w:tr w14:paraId="09DD6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42F6B">
            <w:pPr>
              <w:keepNext w:val="0"/>
              <w:keepLines w:val="0"/>
              <w:pageBreakBefore w:val="0"/>
              <w:kinsoku/>
              <w:wordWrap/>
              <w:overflowPunct/>
              <w:topLinePunct w:val="0"/>
              <w:autoSpaceDE/>
              <w:autoSpaceDN/>
              <w:bidi w:val="0"/>
              <w:spacing w:line="240" w:lineRule="auto"/>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（五）坚持科技兴安</w:t>
            </w:r>
          </w:p>
        </w:tc>
      </w:tr>
      <w:tr w14:paraId="39D87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E7DB8">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49</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9DBC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推动电力安全相关基础理论、重大技术和装备攻关，加快先进技术示范和推广应用，为新型电力系统安全稳定运行提供有力支撑。主动融入安全科技产业创新生态，推动电力安全科技创新、产业创新的深度融合，加快电力安全科技创新成果转化应用。积极适应新型电力系统数字化智能化发展趋势，推动研究人工智能技术在电力系统应用进程中存在的安全风险、责任划分及监管原则，全面提升电力安全快速感知、实时监测、超前预警和安全评估能力，通过强化技术手段从源头消除安全风险与隐患。</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19BA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电力企业在推动电力安全相关基础理论、重大技术和装备攻关，加快先进技术示范和推广应用，建立电力安全科技创新成果转化机制，积极适应新型电力系统数字化智能化发展趋势</w:t>
            </w:r>
            <w:r>
              <w:rPr>
                <w:rFonts w:hint="eastAsia" w:ascii="仿宋_GB2312" w:hAnsi="等线" w:cs="仿宋_GB2312"/>
                <w:i w:val="0"/>
                <w:iCs w:val="0"/>
                <w:color w:val="000000"/>
                <w:kern w:val="0"/>
                <w:sz w:val="24"/>
                <w:szCs w:val="24"/>
                <w:u w:val="none"/>
                <w:lang w:val="en-US" w:eastAsia="zh-CN" w:bidi="ar"/>
              </w:rPr>
              <w:t>等方面，</w:t>
            </w:r>
            <w:r>
              <w:rPr>
                <w:rFonts w:hint="default" w:ascii="仿宋_GB2312" w:hAnsi="等线" w:eastAsia="仿宋_GB2312" w:cs="仿宋_GB2312"/>
                <w:i w:val="0"/>
                <w:iCs w:val="0"/>
                <w:color w:val="000000"/>
                <w:kern w:val="0"/>
                <w:sz w:val="24"/>
                <w:szCs w:val="24"/>
                <w:u w:val="none"/>
                <w:lang w:val="en-US" w:eastAsia="zh-CN" w:bidi="ar"/>
              </w:rPr>
              <w:t>通过强化技术手段从源头消除安全风险与隐患等工作推进情况。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4CE18">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电力企业</w:t>
            </w:r>
          </w:p>
        </w:tc>
      </w:tr>
      <w:tr w14:paraId="0D82B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8747E">
            <w:pPr>
              <w:keepNext w:val="0"/>
              <w:keepLines w:val="0"/>
              <w:pageBreakBefore w:val="0"/>
              <w:kinsoku/>
              <w:wordWrap/>
              <w:overflowPunct/>
              <w:topLinePunct w:val="0"/>
              <w:autoSpaceDE/>
              <w:autoSpaceDN/>
              <w:bidi w:val="0"/>
              <w:spacing w:line="240" w:lineRule="auto"/>
              <w:ind w:left="0" w:leftChars="0" w:firstLine="0" w:firstLineChars="0"/>
              <w:rPr>
                <w:rFonts w:hint="default" w:ascii="仿宋_GB2312" w:hAnsi="等线" w:eastAsia="仿宋_GB2312" w:cs="仿宋_GB2312"/>
                <w:i w:val="0"/>
                <w:iCs w:val="0"/>
                <w:color w:val="000000"/>
                <w:kern w:val="0"/>
                <w:sz w:val="24"/>
                <w:szCs w:val="24"/>
                <w:u w:val="none"/>
                <w:lang w:val="en-US" w:eastAsia="zh-CN" w:bidi="ar"/>
              </w:rPr>
            </w:pPr>
            <w:r>
              <w:rPr>
                <w:rFonts w:hint="default" w:ascii="仿宋_GB2312" w:hAnsi="等线" w:eastAsia="仿宋_GB2312" w:cs="仿宋_GB2312"/>
                <w:i w:val="0"/>
                <w:iCs w:val="0"/>
                <w:color w:val="000000"/>
                <w:kern w:val="0"/>
                <w:sz w:val="24"/>
                <w:szCs w:val="24"/>
                <w:u w:val="none"/>
                <w:lang w:val="en-US" w:eastAsia="zh-CN" w:bidi="ar"/>
              </w:rPr>
              <w:t>（六）推进文化育安</w:t>
            </w:r>
          </w:p>
        </w:tc>
      </w:tr>
      <w:tr w14:paraId="4ABEC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65544">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50</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596BC">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树立“和谐守规、安全共治”新型电力系统安全文化理念，搭建电力安全文化宣教平台，创新工作理念和传播形式，构建电力安全文化新形态。强化面向基层的宣传引导，电力企业应加强对新型并网主体投资者、运营者电力安全文化的宣教培训，将电力安全政策法规和安全知识宣传融入日常供电服务工作，延伸到基层、拓展到各个单位、覆盖到广大群众，提升全社会人员的电力安全意识。</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1C5B6">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1.地方能源主管部门、派出机构、电力企业加强电力安全文化宣教，构建电力安全文化新形态等方面工作情况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2.电力企业及时组织开展新型并网主体投资者、运营者电力安全文化的宣教培训工作情况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3.电力企业将电力安全政策法规和安全知识宣传融入日常供电服务工作，延伸到基层、拓展到各个单位、覆盖到广大群众的推进情况。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7474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地方能源主管部门，派出机构，电力企业</w:t>
            </w:r>
          </w:p>
        </w:tc>
      </w:tr>
      <w:tr w14:paraId="08D4F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A7E4E">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51</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2DAC7">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加强电力设施保护宣传，坚持集中性宣传教育与经常性宣传教育相结合，建立全社会联合参与的电力设施保护机制，通过人防、物防、技防相结合方式加强预控，严厉打击破坏行为，营造群众监督、社会支持的保护格局。</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A98E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地方能源主管部门、派出机构、电力企业加强电力设施保护宣传，推动建立全社会联合参与的电力设施保护机制，营造群众监督、社会支持的保护格局</w:t>
            </w:r>
            <w:r>
              <w:rPr>
                <w:rFonts w:hint="eastAsia" w:ascii="仿宋_GB2312" w:hAnsi="等线" w:cs="仿宋_GB2312"/>
                <w:i w:val="0"/>
                <w:iCs w:val="0"/>
                <w:color w:val="000000"/>
                <w:kern w:val="0"/>
                <w:sz w:val="24"/>
                <w:szCs w:val="24"/>
                <w:u w:val="none"/>
                <w:lang w:val="en-US" w:eastAsia="zh-CN" w:bidi="ar"/>
              </w:rPr>
              <w:t>情况</w:t>
            </w:r>
            <w:r>
              <w:rPr>
                <w:rFonts w:hint="default" w:ascii="仿宋_GB2312" w:hAnsi="等线" w:eastAsia="仿宋_GB2312" w:cs="仿宋_GB2312"/>
                <w:i w:val="0"/>
                <w:iCs w:val="0"/>
                <w:color w:val="000000"/>
                <w:kern w:val="0"/>
                <w:sz w:val="24"/>
                <w:szCs w:val="24"/>
                <w:u w:val="none"/>
                <w:lang w:val="en-US" w:eastAsia="zh-CN" w:bidi="ar"/>
              </w:rPr>
              <w:t>。</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2C98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地方能源主管部门，派出机构，电力企业</w:t>
            </w:r>
          </w:p>
        </w:tc>
      </w:tr>
      <w:tr w14:paraId="1F8FD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BE72F0">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eastAsia" w:ascii="楷体" w:hAnsi="楷体" w:eastAsia="楷体" w:cs="楷体"/>
                <w:b w:val="0"/>
                <w:bCs w:val="0"/>
                <w:i w:val="0"/>
                <w:iCs w:val="0"/>
                <w:color w:val="000000"/>
                <w:kern w:val="0"/>
                <w:sz w:val="24"/>
                <w:szCs w:val="24"/>
                <w:u w:val="none"/>
                <w:lang w:val="en-US" w:eastAsia="zh-CN" w:bidi="ar"/>
              </w:rPr>
              <w:t>四、提升电力安全监督管理效能</w:t>
            </w:r>
          </w:p>
        </w:tc>
      </w:tr>
      <w:tr w14:paraId="7E5B1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B9317A">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（一）严格安全监管执法</w:t>
            </w:r>
          </w:p>
        </w:tc>
      </w:tr>
      <w:tr w14:paraId="36161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6"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2112D">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52</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3A30D">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加强电力安全执法检查，完善执法程序规定，规范通报、约谈制度。完善安全生产执法信息公开制度，建立电力安全信息共享平台，及时发布执法信息。健全以安全信用为核心的新型监管机制，加快推进电力安全监管数字化智能化工程建设，探索创新非现场等监管模式。</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FA9A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1.国家能源局及其派出机构、地方能源主管部门依法依规规范开展调查、通报、约谈、处罚等电力安全执法情况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2.国家能源局及其派出机构、地方能源主管部门推动建立完善电力安全信息共享机制及公开执法信息情况，是否定期公开执法信息，是否纳入信用监管体系</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3.派出机构</w:t>
            </w:r>
            <w:r>
              <w:rPr>
                <w:rFonts w:hint="eastAsia" w:ascii="仿宋_GB2312" w:hAnsi="等线" w:cs="仿宋_GB2312"/>
                <w:i w:val="0"/>
                <w:iCs w:val="0"/>
                <w:color w:val="000000"/>
                <w:kern w:val="0"/>
                <w:sz w:val="24"/>
                <w:szCs w:val="24"/>
                <w:u w:val="none"/>
                <w:lang w:val="en-US" w:eastAsia="zh-CN" w:bidi="ar"/>
              </w:rPr>
              <w:t>在</w:t>
            </w:r>
            <w:r>
              <w:rPr>
                <w:rFonts w:hint="default" w:ascii="仿宋_GB2312" w:hAnsi="等线" w:eastAsia="仿宋_GB2312" w:cs="仿宋_GB2312"/>
                <w:i w:val="0"/>
                <w:iCs w:val="0"/>
                <w:color w:val="000000"/>
                <w:kern w:val="0"/>
                <w:sz w:val="24"/>
                <w:szCs w:val="24"/>
                <w:u w:val="none"/>
                <w:lang w:val="en-US" w:eastAsia="zh-CN" w:bidi="ar"/>
              </w:rPr>
              <w:t>推进安全监管数智化建设</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t>探索非现场监管模式</w:t>
            </w:r>
            <w:r>
              <w:rPr>
                <w:rFonts w:hint="eastAsia" w:ascii="仿宋_GB2312" w:hAnsi="等线" w:cs="仿宋_GB2312"/>
                <w:i w:val="0"/>
                <w:iCs w:val="0"/>
                <w:color w:val="000000"/>
                <w:kern w:val="0"/>
                <w:sz w:val="24"/>
                <w:szCs w:val="24"/>
                <w:u w:val="none"/>
                <w:lang w:val="en-US" w:eastAsia="zh-CN" w:bidi="ar"/>
              </w:rPr>
              <w:t>等</w:t>
            </w:r>
            <w:r>
              <w:rPr>
                <w:rFonts w:hint="default" w:ascii="仿宋_GB2312" w:hAnsi="等线" w:eastAsia="仿宋_GB2312" w:cs="仿宋_GB2312"/>
                <w:i w:val="0"/>
                <w:iCs w:val="0"/>
                <w:color w:val="000000"/>
                <w:kern w:val="0"/>
                <w:sz w:val="24"/>
                <w:szCs w:val="24"/>
                <w:u w:val="none"/>
                <w:lang w:val="en-US" w:eastAsia="zh-CN" w:bidi="ar"/>
              </w:rPr>
              <w:t>新型监管机制探索情况。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F656B">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国家能源局及其派出机构，地方能源主管部门</w:t>
            </w:r>
          </w:p>
        </w:tc>
      </w:tr>
      <w:tr w14:paraId="2FECF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059687">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（二）加强安全信息管理</w:t>
            </w:r>
          </w:p>
        </w:tc>
      </w:tr>
      <w:tr w14:paraId="457BE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8"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5BF16">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53</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632FE">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严格电力安全信息报送工作，针对新形势、新业态持续完善信息报送要求，建立电力安全信息快报、续报、核报、详报机制，分层分级规范开展电力安全信息报送，对迟报、漏报、瞒报、谎报的情况要依法依规严肃追责处理。健全电力安全风险隐患和事故等基础数据和信息共享机制，依托行业组织建立电力安全基础数据平台，统一数据采集存储和统计分析标准，分级分类开放共享电力安全基础数据与信息，提升全行业风险预防预控能力。</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CB17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1.地方能源主管部门、派出机构采取措施贯彻落实国家能源局分层分级规范开展电力安全信息报送制度以及对迟报、漏报、瞒报、谎报情况依法依规严肃追责处理情况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2.电力企业是否严格落实有关电力安全信息报送要求</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3.国家能源局、派出机构会同电力企业将电力安全风险隐患和事故等基础数据和信息分级分类充分纳入电力安全基础数据平台，建立完善数据采集存储和统计分析标准</w:t>
            </w:r>
            <w:r>
              <w:rPr>
                <w:rFonts w:hint="eastAsia" w:ascii="仿宋_GB2312" w:hAnsi="等线" w:cs="仿宋_GB2312"/>
                <w:i w:val="0"/>
                <w:iCs w:val="0"/>
                <w:color w:val="000000"/>
                <w:kern w:val="0"/>
                <w:sz w:val="24"/>
                <w:szCs w:val="24"/>
                <w:u w:val="none"/>
                <w:lang w:val="en-US" w:eastAsia="zh-CN" w:bidi="ar"/>
              </w:rPr>
              <w:t>的情况</w:t>
            </w:r>
            <w:r>
              <w:rPr>
                <w:rFonts w:hint="default" w:ascii="仿宋_GB2312" w:hAnsi="等线" w:eastAsia="仿宋_GB2312" w:cs="仿宋_GB2312"/>
                <w:i w:val="0"/>
                <w:iCs w:val="0"/>
                <w:color w:val="000000"/>
                <w:kern w:val="0"/>
                <w:sz w:val="24"/>
                <w:szCs w:val="24"/>
                <w:u w:val="none"/>
                <w:lang w:val="en-US" w:eastAsia="zh-CN" w:bidi="ar"/>
              </w:rPr>
              <w:t>。</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DF2A2">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国家能源局，地方能源主管部门，派出机构，电力企业</w:t>
            </w:r>
          </w:p>
        </w:tc>
      </w:tr>
      <w:tr w14:paraId="18196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D96A67">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（三）依法依规开展事故调查</w:t>
            </w:r>
          </w:p>
        </w:tc>
      </w:tr>
      <w:tr w14:paraId="26BAB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665D5">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54</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F7752">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严格电力安全事故调查，国家能源局及其派出机构应依法依规组织开展电力安全事故和运行过程中发生的电力设备事故调查处理，严格按照《电力安全事故应急处置和调查处理条例》（国务院令第599号）和《生产安全事故报告和调查处理条例》（国务院令第493号）明确的事故调查权限开展事故调查，不得以任何理由不开展调查，或者随意降低事故调查组织的等级。建立电力安全执法法律顾问制度，提升执法的规范性。建立健全事故调查后评估和责任倒查机制，对事故发生单位和有关人员落实事故防范和整改措施的情况进行监督检查，对拒不整改或消极应对的有关单位和个人，应当按照有关规定追究责任。</w:t>
            </w: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B1612">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1.国家能源局及其派出机构依法依规组织开展电力安全事故和运行过程中发生的电力设备事故调查处理，是否存在不开展调查或者随意降低事故调查组织等级</w:t>
            </w:r>
            <w:r>
              <w:rPr>
                <w:rFonts w:hint="eastAsia" w:ascii="仿宋_GB2312" w:hAnsi="等线" w:cs="仿宋_GB2312"/>
                <w:i w:val="0"/>
                <w:iCs w:val="0"/>
                <w:color w:val="000000"/>
                <w:kern w:val="0"/>
                <w:sz w:val="24"/>
                <w:szCs w:val="24"/>
                <w:u w:val="none"/>
                <w:lang w:val="en-US" w:eastAsia="zh-CN" w:bidi="ar"/>
              </w:rPr>
              <w:t>情况</w:t>
            </w:r>
            <w:r>
              <w:rPr>
                <w:rFonts w:hint="default" w:ascii="仿宋_GB2312" w:hAnsi="等线" w:eastAsia="仿宋_GB2312"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2.国家能源局及其派出机构提升执法规范性相关</w:t>
            </w:r>
            <w:r>
              <w:rPr>
                <w:rFonts w:hint="eastAsia" w:ascii="仿宋_GB2312" w:hAnsi="等线" w:cs="仿宋_GB2312"/>
                <w:i w:val="0"/>
                <w:iCs w:val="0"/>
                <w:color w:val="000000"/>
                <w:kern w:val="0"/>
                <w:sz w:val="24"/>
                <w:szCs w:val="24"/>
                <w:u w:val="none"/>
                <w:lang w:val="en-US" w:eastAsia="zh-CN" w:bidi="ar"/>
              </w:rPr>
              <w:t>情况。</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3.国家能源局及其派出机构对事故发生单位和有关人员落实事故防范和整改措施的情况进行监督检查工作情况。</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F2140">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国家能源局及其派出机构</w:t>
            </w:r>
          </w:p>
        </w:tc>
      </w:tr>
      <w:tr w14:paraId="60E31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276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D95D1E">
            <w:pPr>
              <w:keepNext w:val="0"/>
              <w:keepLines w:val="0"/>
              <w:pageBreakBefore w:val="0"/>
              <w:kinsoku/>
              <w:wordWrap/>
              <w:overflowPunct/>
              <w:topLinePunct w:val="0"/>
              <w:autoSpaceDE/>
              <w:autoSpaceDN/>
              <w:bidi w:val="0"/>
              <w:spacing w:line="400" w:lineRule="exact"/>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（四）提升安全监督管理水平</w:t>
            </w:r>
          </w:p>
        </w:tc>
      </w:tr>
      <w:tr w14:paraId="145EC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4" w:hRule="atLeast"/>
        </w:trPr>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F4381">
            <w:pPr>
              <w:keepNext w:val="0"/>
              <w:keepLines w:val="0"/>
              <w:pageBreakBefore w:val="0"/>
              <w:widowControl/>
              <w:suppressLineNumbers w:val="0"/>
              <w:kinsoku/>
              <w:wordWrap/>
              <w:overflowPunct/>
              <w:topLinePunct w:val="0"/>
              <w:autoSpaceDE/>
              <w:autoSpaceDN/>
              <w:bidi w:val="0"/>
              <w:spacing w:line="400" w:lineRule="exact"/>
              <w:jc w:val="both"/>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55</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4C3760A">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bottom"/>
              <w:rPr>
                <w:rFonts w:hint="default" w:ascii="仿宋_GB2312" w:hAnsi="等线" w:eastAsia="仿宋_GB2312" w:cs="仿宋_GB2312"/>
                <w:i w:val="0"/>
                <w:iCs w:val="0"/>
                <w:color w:val="000000"/>
                <w:kern w:val="0"/>
                <w:sz w:val="24"/>
                <w:szCs w:val="24"/>
                <w:u w:val="none"/>
                <w:lang w:val="en-US" w:eastAsia="zh-CN" w:bidi="ar"/>
              </w:rPr>
            </w:pPr>
          </w:p>
          <w:p w14:paraId="520629D1">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bottom"/>
              <w:rPr>
                <w:rFonts w:hint="default" w:ascii="仿宋_GB2312" w:hAnsi="等线" w:eastAsia="仿宋_GB2312" w:cs="仿宋_GB2312"/>
                <w:i w:val="0"/>
                <w:iCs w:val="0"/>
                <w:color w:val="000000"/>
                <w:kern w:val="0"/>
                <w:sz w:val="24"/>
                <w:szCs w:val="24"/>
                <w:u w:val="none"/>
                <w:lang w:val="en-US" w:eastAsia="zh-CN" w:bidi="ar"/>
              </w:rPr>
            </w:pPr>
            <w:r>
              <w:rPr>
                <w:rFonts w:hint="default" w:ascii="仿宋_GB2312" w:hAnsi="等线" w:eastAsia="仿宋_GB2312" w:cs="仿宋_GB2312"/>
                <w:i w:val="0"/>
                <w:iCs w:val="0"/>
                <w:color w:val="000000"/>
                <w:kern w:val="0"/>
                <w:sz w:val="24"/>
                <w:szCs w:val="24"/>
                <w:u w:val="none"/>
                <w:lang w:val="en-US" w:eastAsia="zh-CN" w:bidi="ar"/>
              </w:rPr>
              <w:t>建立电力安全监管干部专业知识定期培训机制，创新学习方式方法，提升监管干部的专业技术水平和防范化解风险能力。定期举行法律知识培训，树立法治理念、法治思维，提高依法行政能力，全面履行法定职责。</w:t>
            </w:r>
          </w:p>
          <w:p w14:paraId="43A409D3">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bottom"/>
              <w:rPr>
                <w:rFonts w:hint="default" w:ascii="仿宋_GB2312" w:hAnsi="等线" w:eastAsia="仿宋_GB2312" w:cs="仿宋_GB2312"/>
                <w:i w:val="0"/>
                <w:iCs w:val="0"/>
                <w:color w:val="000000"/>
                <w:kern w:val="0"/>
                <w:sz w:val="24"/>
                <w:szCs w:val="24"/>
                <w:u w:val="none"/>
                <w:lang w:val="en-US" w:eastAsia="zh-CN" w:bidi="ar"/>
              </w:rPr>
            </w:pPr>
          </w:p>
        </w:tc>
        <w:tc>
          <w:tcPr>
            <w:tcW w:w="49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14C09">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1.国家能源局、地方能源主管部门、派出机构开展电力安全监管干部专业知识定期培训情况</w:t>
            </w:r>
            <w:r>
              <w:rPr>
                <w:rFonts w:hint="eastAsia" w:ascii="仿宋_GB2312" w:hAnsi="等线" w:cs="仿宋_GB2312"/>
                <w:i w:val="0"/>
                <w:iCs w:val="0"/>
                <w:color w:val="000000"/>
                <w:kern w:val="0"/>
                <w:sz w:val="24"/>
                <w:szCs w:val="24"/>
                <w:u w:val="none"/>
                <w:lang w:val="en-US" w:eastAsia="zh-CN" w:bidi="ar"/>
              </w:rPr>
              <w:t>。</w:t>
            </w:r>
            <w:r>
              <w:rPr>
                <w:rFonts w:hint="default" w:ascii="仿宋_GB2312" w:hAnsi="等线" w:eastAsia="仿宋_GB2312" w:cs="仿宋_GB2312"/>
                <w:i w:val="0"/>
                <w:iCs w:val="0"/>
                <w:color w:val="000000"/>
                <w:kern w:val="0"/>
                <w:sz w:val="24"/>
                <w:szCs w:val="24"/>
                <w:u w:val="none"/>
                <w:lang w:val="en-US" w:eastAsia="zh-CN" w:bidi="ar"/>
              </w:rPr>
              <w:br w:type="textWrapping"/>
            </w:r>
            <w:r>
              <w:rPr>
                <w:rFonts w:hint="default" w:ascii="仿宋_GB2312" w:hAnsi="等线" w:eastAsia="仿宋_GB2312" w:cs="仿宋_GB2312"/>
                <w:i w:val="0"/>
                <w:iCs w:val="0"/>
                <w:color w:val="000000"/>
                <w:kern w:val="0"/>
                <w:sz w:val="24"/>
                <w:szCs w:val="24"/>
                <w:u w:val="none"/>
                <w:lang w:val="en-US" w:eastAsia="zh-CN" w:bidi="ar"/>
              </w:rPr>
              <w:t>2.国家能源局、地方能源主管部门、派出机构定期举行电力安全监管法律知识培训情况</w:t>
            </w:r>
            <w:r>
              <w:rPr>
                <w:rFonts w:hint="eastAsia" w:ascii="仿宋_GB2312" w:hAnsi="等线" w:cs="仿宋_GB2312"/>
                <w:i w:val="0"/>
                <w:iCs w:val="0"/>
                <w:color w:val="000000"/>
                <w:kern w:val="0"/>
                <w:sz w:val="24"/>
                <w:szCs w:val="24"/>
                <w:u w:val="none"/>
                <w:lang w:val="en-US" w:eastAsia="zh-CN" w:bidi="ar"/>
              </w:rPr>
              <w:t>。</w:t>
            </w:r>
          </w:p>
        </w:tc>
        <w:tc>
          <w:tcPr>
            <w:tcW w:w="17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743DF">
            <w:pPr>
              <w:keepNext w:val="0"/>
              <w:keepLines w:val="0"/>
              <w:pageBreakBefore w:val="0"/>
              <w:widowControl/>
              <w:suppressLineNumbers w:val="0"/>
              <w:kinsoku/>
              <w:wordWrap/>
              <w:overflowPunct/>
              <w:topLinePunct w:val="0"/>
              <w:autoSpaceDE/>
              <w:autoSpaceDN/>
              <w:bidi w:val="0"/>
              <w:spacing w:line="400" w:lineRule="exact"/>
              <w:ind w:left="0" w:leftChars="0" w:firstLine="0" w:firstLineChars="0"/>
              <w:jc w:val="left"/>
              <w:textAlignment w:val="center"/>
              <w:rPr>
                <w:rFonts w:hint="default" w:ascii="仿宋_GB2312" w:hAnsi="等线" w:eastAsia="仿宋_GB2312" w:cs="仿宋_GB2312"/>
                <w:i w:val="0"/>
                <w:iCs w:val="0"/>
                <w:color w:val="000000"/>
                <w:sz w:val="24"/>
                <w:szCs w:val="24"/>
                <w:u w:val="none"/>
              </w:rPr>
            </w:pPr>
            <w:r>
              <w:rPr>
                <w:rFonts w:hint="default" w:ascii="仿宋_GB2312" w:hAnsi="等线" w:eastAsia="仿宋_GB2312" w:cs="仿宋_GB2312"/>
                <w:i w:val="0"/>
                <w:iCs w:val="0"/>
                <w:color w:val="000000"/>
                <w:kern w:val="0"/>
                <w:sz w:val="24"/>
                <w:szCs w:val="24"/>
                <w:u w:val="none"/>
                <w:lang w:val="en-US" w:eastAsia="zh-CN" w:bidi="ar"/>
              </w:rPr>
              <w:t>国家能源局及其派出机构，地方能源主管部门</w:t>
            </w:r>
          </w:p>
        </w:tc>
      </w:tr>
    </w:tbl>
    <w:p w14:paraId="3CCFC5FC">
      <w:pPr>
        <w:keepNext w:val="0"/>
        <w:keepLines w:val="0"/>
        <w:pageBreakBefore w:val="0"/>
        <w:widowControl w:val="0"/>
        <w:kinsoku/>
        <w:wordWrap/>
        <w:overflowPunct/>
        <w:topLinePunct w:val="0"/>
        <w:autoSpaceDE/>
        <w:autoSpaceDN/>
        <w:bidi w:val="0"/>
        <w:spacing w:line="400" w:lineRule="exact"/>
        <w:textAlignment w:val="auto"/>
        <w:rPr>
          <w:rFonts w:hint="default"/>
          <w:lang w:val="en-US" w:eastAsia="zh-CN"/>
        </w:rPr>
      </w:pPr>
    </w:p>
    <w:sectPr>
      <w:footerReference r:id="rId5" w:type="default"/>
      <w:pgSz w:w="16838" w:h="11906" w:orient="landscape"/>
      <w:pgMar w:top="1587" w:right="2098" w:bottom="1474" w:left="1984"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317B036-6FE6-43E3-819A-21B3BD4876B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4531444C-C92E-4525-B3E4-CE5C79B9C67C}"/>
  </w:font>
  <w:font w:name="方正楷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2010600030101010101"/>
    <w:charset w:val="86"/>
    <w:family w:val="roman"/>
    <w:pitch w:val="default"/>
    <w:sig w:usb0="00000000" w:usb1="00000000" w:usb2="00000016" w:usb3="00000000" w:csb0="0004000F" w:csb1="00000000"/>
    <w:embedRegular r:id="rId3" w:fontKey="{CA19415D-9A5A-4723-90F3-6B2690CE3D72}"/>
  </w:font>
  <w:font w:name="+西文正文">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00000000000000000"/>
    <w:charset w:val="86"/>
    <w:family w:val="auto"/>
    <w:pitch w:val="default"/>
    <w:sig w:usb0="00000001" w:usb1="08000000" w:usb2="00000000" w:usb3="00000000" w:csb0="00040000" w:csb1="00000000"/>
    <w:embedRegular r:id="rId4" w:fontKey="{2F68B084-CCCC-4BB7-8127-467905E92135}"/>
  </w:font>
  <w:font w:name="方正仿宋_GBK">
    <w:panose1 w:val="02000000000000000000"/>
    <w:charset w:val="86"/>
    <w:family w:val="auto"/>
    <w:pitch w:val="default"/>
    <w:sig w:usb0="A00002BF" w:usb1="38CF7CFA" w:usb2="00082016" w:usb3="00000000" w:csb0="00040001" w:csb1="00000000"/>
  </w:font>
  <w:font w:name="方正黑体_GBK">
    <w:panose1 w:val="02010600010101010101"/>
    <w:charset w:val="86"/>
    <w:family w:val="auto"/>
    <w:pitch w:val="default"/>
    <w:sig w:usb0="00000001" w:usb1="080E0000" w:usb2="00000000" w:usb3="00000000" w:csb0="00040000" w:csb1="00000000"/>
    <w:embedRegular r:id="rId5" w:fontKey="{CB886198-218C-42C4-91A6-64450061032E}"/>
  </w:font>
  <w:font w:name="楷体">
    <w:panose1 w:val="02010609060101010101"/>
    <w:charset w:val="86"/>
    <w:family w:val="auto"/>
    <w:pitch w:val="default"/>
    <w:sig w:usb0="800002BF" w:usb1="38CF7CFA" w:usb2="00000016" w:usb3="00000000" w:csb0="00040001" w:csb1="00000000"/>
    <w:embedRegular r:id="rId6" w:fontKey="{2EF8A8E3-6646-4DFF-995E-3DCC00DF7D8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8C96E2">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482F55">
                          <w:pPr>
                            <w:pStyle w:val="14"/>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0482F55">
                    <w:pPr>
                      <w:pStyle w:val="14"/>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1A9E3B"/>
    <w:multiLevelType w:val="multilevel"/>
    <w:tmpl w:val="5C1A9E3B"/>
    <w:lvl w:ilvl="0" w:tentative="0">
      <w:start w:val="1"/>
      <w:numFmt w:val="chineseCounting"/>
      <w:pStyle w:val="2"/>
      <w:suff w:val="nothing"/>
      <w:lvlText w:val="%1、"/>
      <w:lvlJc w:val="left"/>
      <w:pPr>
        <w:ind w:left="0" w:firstLine="0"/>
      </w:pPr>
      <w:rPr>
        <w:rFonts w:hint="eastAsia"/>
      </w:rPr>
    </w:lvl>
    <w:lvl w:ilvl="1" w:tentative="0">
      <w:start w:val="1"/>
      <w:numFmt w:val="chineseCounting"/>
      <w:pStyle w:val="3"/>
      <w:suff w:val="nothing"/>
      <w:lvlText w:val="（%2）"/>
      <w:lvlJc w:val="left"/>
      <w:pPr>
        <w:tabs>
          <w:tab w:val="left" w:pos="0"/>
        </w:tabs>
        <w:ind w:left="0" w:firstLine="0"/>
      </w:pPr>
      <w:rPr>
        <w:rFonts w:hint="eastAsia"/>
      </w:rPr>
    </w:lvl>
    <w:lvl w:ilvl="2" w:tentative="0">
      <w:start w:val="1"/>
      <w:numFmt w:val="decimal"/>
      <w:pStyle w:val="4"/>
      <w:suff w:val="nothing"/>
      <w:lvlText w:val="%3．"/>
      <w:lvlJc w:val="left"/>
      <w:pPr>
        <w:ind w:left="0" w:firstLine="400"/>
      </w:pPr>
      <w:rPr>
        <w:rFonts w:hint="eastAsia"/>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381F5F"/>
    <w:rsid w:val="00471E60"/>
    <w:rsid w:val="01277FD9"/>
    <w:rsid w:val="01C40EE9"/>
    <w:rsid w:val="05E73C3B"/>
    <w:rsid w:val="0FCA08D0"/>
    <w:rsid w:val="1BA95530"/>
    <w:rsid w:val="1D861AA6"/>
    <w:rsid w:val="21091A9E"/>
    <w:rsid w:val="213A01DA"/>
    <w:rsid w:val="30F76325"/>
    <w:rsid w:val="3D2C725B"/>
    <w:rsid w:val="3DBC6134"/>
    <w:rsid w:val="42CB63A9"/>
    <w:rsid w:val="4936734B"/>
    <w:rsid w:val="4A3B2FFB"/>
    <w:rsid w:val="53092C38"/>
    <w:rsid w:val="558E3B99"/>
    <w:rsid w:val="5B386BEA"/>
    <w:rsid w:val="5BB0512A"/>
    <w:rsid w:val="5C8E4EE7"/>
    <w:rsid w:val="5D8A2790"/>
    <w:rsid w:val="610411A3"/>
    <w:rsid w:val="61D311E0"/>
    <w:rsid w:val="62381F5F"/>
    <w:rsid w:val="64EF6496"/>
    <w:rsid w:val="678252EF"/>
    <w:rsid w:val="692C7640"/>
    <w:rsid w:val="6B8D2598"/>
    <w:rsid w:val="6BCC52EB"/>
    <w:rsid w:val="71FC4D8C"/>
    <w:rsid w:val="76893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8" w:lineRule="exact"/>
      <w:ind w:firstLine="640" w:firstLineChars="200"/>
      <w:jc w:val="both"/>
    </w:pPr>
    <w:rPr>
      <w:rFonts w:ascii="Times New Roman" w:hAnsi="Times New Roman" w:eastAsia="仿宋_GB2312" w:cs="Times New Roman"/>
      <w:kern w:val="2"/>
      <w:sz w:val="32"/>
      <w:lang w:val="en-US" w:eastAsia="zh-CN" w:bidi="ar-SA"/>
    </w:rPr>
  </w:style>
  <w:style w:type="paragraph" w:styleId="2">
    <w:name w:val="heading 1"/>
    <w:basedOn w:val="1"/>
    <w:next w:val="1"/>
    <w:qFormat/>
    <w:uiPriority w:val="0"/>
    <w:pPr>
      <w:keepNext/>
      <w:keepLines/>
      <w:numPr>
        <w:ilvl w:val="0"/>
        <w:numId w:val="1"/>
      </w:numPr>
      <w:spacing w:beforeLines="0" w:beforeAutospacing="0" w:afterLines="0" w:afterAutospacing="0" w:line="578" w:lineRule="exact"/>
      <w:ind w:firstLine="964" w:firstLineChars="200"/>
      <w:outlineLvl w:val="0"/>
    </w:pPr>
    <w:rPr>
      <w:rFonts w:eastAsia="黑体" w:asciiTheme="minorAscii" w:hAnsiTheme="minorAscii" w:cstheme="minorBidi"/>
      <w:kern w:val="44"/>
      <w:sz w:val="32"/>
      <w:szCs w:val="24"/>
    </w:rPr>
  </w:style>
  <w:style w:type="paragraph" w:styleId="3">
    <w:name w:val="heading 2"/>
    <w:basedOn w:val="1"/>
    <w:next w:val="1"/>
    <w:semiHidden/>
    <w:unhideWhenUsed/>
    <w:qFormat/>
    <w:uiPriority w:val="0"/>
    <w:pPr>
      <w:keepNext/>
      <w:keepLines/>
      <w:numPr>
        <w:ilvl w:val="1"/>
        <w:numId w:val="1"/>
      </w:numPr>
      <w:spacing w:beforeLines="0" w:beforeAutospacing="0" w:afterLines="0" w:afterAutospacing="0" w:line="578" w:lineRule="exact"/>
      <w:ind w:firstLine="0" w:firstLineChars="0"/>
      <w:outlineLvl w:val="1"/>
    </w:pPr>
    <w:rPr>
      <w:rFonts w:ascii="Arial" w:hAnsi="Arial" w:eastAsia="方正楷体_GBK" w:cstheme="minorBidi"/>
      <w:sz w:val="32"/>
      <w:szCs w:val="24"/>
    </w:rPr>
  </w:style>
  <w:style w:type="paragraph" w:styleId="4">
    <w:name w:val="heading 3"/>
    <w:basedOn w:val="1"/>
    <w:next w:val="1"/>
    <w:semiHidden/>
    <w:unhideWhenUsed/>
    <w:qFormat/>
    <w:uiPriority w:val="0"/>
    <w:pPr>
      <w:keepNext/>
      <w:keepLines/>
      <w:numPr>
        <w:ilvl w:val="2"/>
        <w:numId w:val="1"/>
      </w:numPr>
      <w:spacing w:beforeLines="0" w:beforeAutospacing="0" w:afterLines="0" w:afterAutospacing="0" w:line="578" w:lineRule="exact"/>
      <w:ind w:firstLine="400" w:firstLineChars="0"/>
      <w:outlineLvl w:val="2"/>
    </w:pPr>
    <w:rPr>
      <w:rFonts w:eastAsia="仿宋_GB2312" w:asciiTheme="minorAscii" w:hAnsiTheme="minorAscii" w:cstheme="minorBidi"/>
      <w:b/>
      <w:sz w:val="32"/>
      <w:szCs w:val="24"/>
    </w:rPr>
  </w:style>
  <w:style w:type="paragraph" w:styleId="5">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firstLine="402" w:firstLineChars="0"/>
      <w:outlineLvl w:val="3"/>
    </w:pPr>
    <w:rPr>
      <w:rFonts w:ascii="Arial" w:hAnsi="Arial" w:eastAsia="黑体"/>
      <w:b/>
      <w:sz w:val="28"/>
    </w:rPr>
  </w:style>
  <w:style w:type="paragraph" w:styleId="6">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firstLine="402" w:firstLineChars="0"/>
      <w:outlineLvl w:val="4"/>
    </w:pPr>
    <w:rPr>
      <w:b/>
      <w:sz w:val="28"/>
    </w:rPr>
  </w:style>
  <w:style w:type="paragraph" w:styleId="7">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firstLine="402" w:firstLineChars="0"/>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firstLine="402" w:firstLineChars="0"/>
      <w:outlineLvl w:val="6"/>
    </w:pPr>
    <w:rPr>
      <w:b/>
      <w:sz w:val="24"/>
    </w:rPr>
  </w:style>
  <w:style w:type="paragraph" w:styleId="9">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firstLine="402" w:firstLineChars="0"/>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firstLine="402" w:firstLineChars="0"/>
      <w:outlineLvl w:val="8"/>
    </w:pPr>
    <w:rPr>
      <w:rFonts w:ascii="Arial" w:hAnsi="Arial" w:eastAsia="黑体"/>
      <w:sz w:val="21"/>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11">
    <w:name w:val="Normal Indent"/>
    <w:basedOn w:val="1"/>
    <w:next w:val="1"/>
    <w:unhideWhenUsed/>
    <w:qFormat/>
    <w:uiPriority w:val="99"/>
    <w:pPr>
      <w:ind w:firstLine="420" w:firstLineChars="200"/>
    </w:pPr>
    <w:rPr>
      <w:rFonts w:ascii="Calibri" w:hAnsi="Calibri" w:eastAsia="等线"/>
    </w:rPr>
  </w:style>
  <w:style w:type="paragraph" w:styleId="12">
    <w:name w:val="Body Text"/>
    <w:basedOn w:val="1"/>
    <w:next w:val="13"/>
    <w:qFormat/>
    <w:uiPriority w:val="0"/>
    <w:pPr>
      <w:widowControl/>
      <w:spacing w:after="120" w:line="276" w:lineRule="auto"/>
      <w:jc w:val="left"/>
    </w:pPr>
    <w:rPr>
      <w:rFonts w:ascii="Calibri" w:hAnsi="Calibri" w:cs="Times New Roman"/>
      <w:kern w:val="0"/>
      <w:sz w:val="22"/>
      <w:lang w:val="zh-CN" w:eastAsia="en-US" w:bidi="en-US"/>
    </w:rPr>
  </w:style>
  <w:style w:type="paragraph" w:styleId="13">
    <w:name w:val="Title"/>
    <w:basedOn w:val="1"/>
    <w:next w:val="1"/>
    <w:qFormat/>
    <w:uiPriority w:val="0"/>
    <w:pPr>
      <w:topLinePunct w:val="0"/>
      <w:spacing w:before="240" w:after="60"/>
      <w:jc w:val="center"/>
      <w:outlineLvl w:val="0"/>
    </w:pPr>
    <w:rPr>
      <w:rFonts w:ascii="Arial" w:hAnsi="Arial" w:cs="Arial"/>
      <w:b/>
      <w:bCs/>
      <w:spacing w:val="0"/>
      <w:sz w:val="32"/>
      <w:szCs w:val="32"/>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8">
    <w:name w:val="公文"/>
    <w:basedOn w:val="1"/>
    <w:qFormat/>
    <w:uiPriority w:val="0"/>
    <w:pPr>
      <w:snapToGrid/>
      <w:spacing w:line="578" w:lineRule="exact"/>
      <w:ind w:firstLine="1044" w:firstLineChars="200"/>
      <w:jc w:val="left"/>
    </w:pPr>
    <w:rPr>
      <w:rFonts w:hint="eastAsia" w:ascii="Times New Roman" w:hAnsi="Times New Roman" w:eastAsia="仿宋_GB2312" w:cs="Times New Roman"/>
      <w:sz w:val="32"/>
      <w:szCs w:val="32"/>
    </w:rPr>
  </w:style>
  <w:style w:type="paragraph" w:customStyle="1" w:styleId="19">
    <w:name w:val="公文标题1"/>
    <w:basedOn w:val="1"/>
    <w:qFormat/>
    <w:uiPriority w:val="0"/>
    <w:pPr>
      <w:spacing w:line="578" w:lineRule="exact"/>
      <w:ind w:firstLine="0" w:firstLineChars="0"/>
      <w:jc w:val="center"/>
    </w:pPr>
    <w:rPr>
      <w:rFonts w:ascii="+西文正文" w:hAnsi="+西文正文" w:eastAsia="方正小标宋简体" w:cstheme="minorBidi"/>
      <w:sz w:val="44"/>
      <w:szCs w:val="32"/>
    </w:rPr>
  </w:style>
  <w:style w:type="paragraph" w:customStyle="1" w:styleId="20">
    <w:name w:val="HY-正文"/>
    <w:basedOn w:val="1"/>
    <w:qFormat/>
    <w:uiPriority w:val="0"/>
    <w:pPr>
      <w:spacing w:line="580" w:lineRule="exact"/>
      <w:ind w:firstLine="200" w:firstLineChars="200"/>
    </w:pPr>
    <w:rPr>
      <w:rFonts w:ascii="仿宋_GB2312" w:hAnsi="仿宋_GB2312" w:eastAsia="方正仿宋_GBK" w:cs="Times New Roman"/>
      <w:sz w:val="32"/>
      <w:lang w:val="zh-CN"/>
    </w:rPr>
  </w:style>
  <w:style w:type="character" w:customStyle="1" w:styleId="21">
    <w:name w:val="font31"/>
    <w:basedOn w:val="17"/>
    <w:qFormat/>
    <w:uiPriority w:val="0"/>
    <w:rPr>
      <w:rFonts w:hint="default"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11293</Words>
  <Characters>11425</Characters>
  <Lines>0</Lines>
  <Paragraphs>0</Paragraphs>
  <TotalTime>34</TotalTime>
  <ScaleCrop>false</ScaleCrop>
  <LinksUpToDate>false</LinksUpToDate>
  <CharactersWithSpaces>11425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2024-11-13T02:45:00Z</dcterms:created>
  <dc:creator>Administrator</dc:creator>
  <cp:lastModifiedBy>高山流水</cp:lastModifiedBy>
  <cp:lastPrinted>2025-03-05T04:23:00Z</cp:lastPrinted>
  <dcterms:modified xsi:type="dcterms:W3CDTF">2025-03-10T02:59:22Z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FA1B683380FA4A6387893401AB81B01B_13</vt:lpwstr>
  </property>
</Properties>
</file>