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snapToGrid w:val="0"/>
        <w:spacing w:beforeLines="0" w:line="580" w:lineRule="exact"/>
        <w:outlineLvl w:val="0"/>
        <w:rPr>
          <w:rFonts w:ascii="方正小标宋简体" w:hAnsi="方正小标宋简体" w:eastAsia="方正小标宋简体" w:cs="方正小标宋简体"/>
          <w:sz w:val="44"/>
          <w:szCs w:val="44"/>
        </w:rPr>
      </w:pPr>
    </w:p>
    <w:p>
      <w:pPr>
        <w:pStyle w:val="17"/>
        <w:snapToGrid w:val="0"/>
        <w:spacing w:beforeLines="0" w:line="580" w:lineRule="exact"/>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电网安全风险管控办法</w:t>
      </w:r>
    </w:p>
    <w:p>
      <w:pPr>
        <w:pStyle w:val="17"/>
        <w:snapToGrid w:val="0"/>
        <w:spacing w:beforeLines="0" w:line="580" w:lineRule="exact"/>
        <w:outlineLvl w:val="0"/>
        <w:rPr>
          <w:rFonts w:ascii="楷体_GB2312" w:hAnsi="楷体_GB2312" w:eastAsia="楷体_GB2312" w:cs="楷体_GB2312"/>
          <w:sz w:val="32"/>
          <w:szCs w:val="32"/>
        </w:rPr>
      </w:pPr>
      <w:r>
        <w:rPr>
          <w:rFonts w:hint="eastAsia" w:ascii="楷体_GB2312" w:hAnsi="楷体_GB2312" w:eastAsia="楷体_GB2312" w:cs="楷体_GB2312"/>
          <w:sz w:val="32"/>
          <w:szCs w:val="32"/>
        </w:rPr>
        <w:t>（征求意见稿）</w:t>
      </w:r>
    </w:p>
    <w:p>
      <w:pPr>
        <w:pStyle w:val="18"/>
        <w:snapToGrid w:val="0"/>
        <w:spacing w:line="580" w:lineRule="exact"/>
        <w:rPr>
          <w:sz w:val="32"/>
          <w:szCs w:val="32"/>
        </w:rPr>
      </w:pPr>
    </w:p>
    <w:p>
      <w:pPr>
        <w:pStyle w:val="18"/>
        <w:snapToGrid w:val="0"/>
        <w:spacing w:line="580" w:lineRule="exact"/>
        <w:outlineLvl w:val="0"/>
        <w:rPr>
          <w:sz w:val="32"/>
          <w:szCs w:val="32"/>
        </w:rPr>
      </w:pPr>
      <w:r>
        <w:rPr>
          <w:sz w:val="32"/>
          <w:szCs w:val="32"/>
        </w:rPr>
        <w:t>第一章　总</w:t>
      </w:r>
      <w:r>
        <w:rPr>
          <w:rFonts w:hint="eastAsia"/>
          <w:sz w:val="32"/>
          <w:szCs w:val="32"/>
        </w:rPr>
        <w:t>　　　</w:t>
      </w:r>
      <w:r>
        <w:rPr>
          <w:sz w:val="32"/>
          <w:szCs w:val="32"/>
        </w:rPr>
        <w:t>则</w:t>
      </w:r>
      <w:bookmarkStart w:id="0" w:name="1"/>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黑体" w:eastAsia="黑体"/>
          <w:color w:val="000000"/>
          <w:sz w:val="32"/>
          <w:szCs w:val="32"/>
        </w:rPr>
        <w:t>第一条</w:t>
      </w:r>
      <w:bookmarkEnd w:id="0"/>
      <w:r>
        <w:rPr>
          <w:color w:val="000000"/>
          <w:sz w:val="32"/>
          <w:szCs w:val="32"/>
        </w:rPr>
        <w:t>　</w:t>
      </w:r>
      <w:r>
        <w:rPr>
          <w:rFonts w:hint="eastAsia" w:ascii="仿宋_GB2312" w:hAnsi="仿宋_GB2312" w:eastAsia="仿宋_GB2312" w:cs="仿宋_GB2312"/>
          <w:color w:val="000000"/>
          <w:sz w:val="32"/>
          <w:szCs w:val="32"/>
        </w:rPr>
        <w:t>为了有效防范电网大面积停电风险，建立以科学防范为导向，流程管理为手段，全过程闭环监管为支撑的全面覆盖、全程管控、高效协同的电网安全风险管控机制，制定本办法。</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bookmarkStart w:id="1" w:name="2"/>
      <w:r>
        <w:rPr>
          <w:rFonts w:hint="eastAsia" w:ascii="黑体" w:eastAsia="黑体"/>
          <w:color w:val="000000"/>
          <w:sz w:val="32"/>
          <w:szCs w:val="32"/>
        </w:rPr>
        <w:t>第二条</w:t>
      </w:r>
      <w:bookmarkEnd w:id="1"/>
      <w:r>
        <w:rPr>
          <w:color w:val="000000"/>
          <w:sz w:val="32"/>
          <w:szCs w:val="32"/>
        </w:rPr>
        <w:t>　</w:t>
      </w:r>
      <w:r>
        <w:rPr>
          <w:rFonts w:hint="eastAsia" w:ascii="仿宋_GB2312" w:hAnsi="仿宋_GB2312" w:eastAsia="仿宋_GB2312" w:cs="仿宋_GB2312"/>
          <w:color w:val="000000"/>
          <w:sz w:val="32"/>
          <w:szCs w:val="32"/>
        </w:rPr>
        <w:t>电网企业及其电力调度机构、发电企业、电力用户和其他并网主体的业主单位在电网安全风险管控中负主体责任，</w:t>
      </w:r>
      <w:r>
        <w:rPr>
          <w:rFonts w:hint="eastAsia" w:ascii="仿宋_GB2312" w:hAnsi="仿宋_GB2312" w:eastAsia="仿宋_GB2312" w:cs="仿宋_GB2312"/>
          <w:color w:val="000000"/>
          <w:sz w:val="32"/>
          <w:szCs w:val="32"/>
          <w:highlight w:val="none"/>
        </w:rPr>
        <w:t>国家能源局及其派出机构、地方电力管理部门负责各自职责范围内电网安全风险管控工作的监督管理。</w:t>
      </w:r>
    </w:p>
    <w:p>
      <w:pPr>
        <w:topLinePunct/>
        <w:adjustRightInd w:val="0"/>
        <w:snapToGrid w:val="0"/>
        <w:spacing w:line="580" w:lineRule="exact"/>
        <w:ind w:firstLine="640" w:firstLineChars="200"/>
        <w:rPr>
          <w:color w:val="000000"/>
          <w:sz w:val="32"/>
          <w:szCs w:val="32"/>
        </w:rPr>
      </w:pPr>
      <w:bookmarkStart w:id="2" w:name="3"/>
      <w:r>
        <w:rPr>
          <w:rFonts w:hint="eastAsia" w:ascii="黑体" w:eastAsia="黑体"/>
          <w:color w:val="000000"/>
          <w:sz w:val="32"/>
          <w:szCs w:val="32"/>
        </w:rPr>
        <w:t>第三条</w:t>
      </w:r>
      <w:bookmarkEnd w:id="2"/>
      <w:r>
        <w:rPr>
          <w:color w:val="000000"/>
          <w:sz w:val="32"/>
          <w:szCs w:val="32"/>
        </w:rPr>
        <w:t>　</w:t>
      </w:r>
      <w:r>
        <w:rPr>
          <w:rFonts w:hint="eastAsia" w:ascii="仿宋_GB2312" w:hAnsi="仿宋_GB2312" w:eastAsia="仿宋_GB2312" w:cs="仿宋_GB2312"/>
          <w:color w:val="000000"/>
          <w:sz w:val="32"/>
          <w:szCs w:val="32"/>
        </w:rPr>
        <w:t>各有关单位应高度重视电网安全风险管控工作，定期梳理电网安全风险，有针对性地做好风险识别、风险定级、风险监视、风险控制、风险治理工作，以便及时了解、掌握和化解电网安全风险。</w:t>
      </w:r>
    </w:p>
    <w:p>
      <w:pPr>
        <w:pStyle w:val="18"/>
        <w:snapToGrid w:val="0"/>
        <w:spacing w:line="580" w:lineRule="exact"/>
        <w:outlineLvl w:val="0"/>
        <w:rPr>
          <w:sz w:val="32"/>
          <w:szCs w:val="32"/>
        </w:rPr>
      </w:pPr>
      <w:r>
        <w:rPr>
          <w:sz w:val="32"/>
          <w:szCs w:val="32"/>
        </w:rPr>
        <w:t>第二章　电网安全风险识别</w:t>
      </w:r>
      <w:bookmarkStart w:id="3" w:name="4"/>
    </w:p>
    <w:p>
      <w:pPr>
        <w:topLinePunct/>
        <w:adjustRightInd w:val="0"/>
        <w:snapToGrid w:val="0"/>
        <w:spacing w:line="580" w:lineRule="exact"/>
        <w:ind w:firstLine="640" w:firstLineChars="200"/>
        <w:rPr>
          <w:color w:val="000000"/>
          <w:sz w:val="32"/>
          <w:szCs w:val="32"/>
        </w:rPr>
      </w:pPr>
      <w:r>
        <w:rPr>
          <w:rFonts w:hint="eastAsia" w:ascii="黑体" w:eastAsia="黑体"/>
          <w:color w:val="000000"/>
          <w:sz w:val="32"/>
          <w:szCs w:val="32"/>
        </w:rPr>
        <w:t>第四条</w:t>
      </w:r>
      <w:bookmarkEnd w:id="3"/>
      <w:r>
        <w:rPr>
          <w:rFonts w:hint="eastAsia" w:ascii="黑体" w:eastAsia="黑体"/>
          <w:color w:val="000000"/>
          <w:sz w:val="32"/>
          <w:szCs w:val="32"/>
        </w:rPr>
        <w:t>　</w:t>
      </w:r>
      <w:r>
        <w:rPr>
          <w:rFonts w:hint="eastAsia" w:ascii="仿宋_GB2312" w:hAnsi="仿宋_GB2312" w:eastAsia="仿宋_GB2312" w:cs="仿宋_GB2312"/>
          <w:color w:val="000000"/>
          <w:sz w:val="32"/>
          <w:szCs w:val="32"/>
        </w:rPr>
        <w:t>电网企业及其电力调度机构负责组织风险识别，发电企业、电力用户和其他并网主体的业主单位应配合做好风险识别工作。风险识别应明确风险可能导致的后果、查找风险原因、判明故障场景。</w:t>
      </w:r>
    </w:p>
    <w:p>
      <w:pPr>
        <w:topLinePunct/>
        <w:adjustRightInd w:val="0"/>
        <w:snapToGrid w:val="0"/>
        <w:spacing w:line="580" w:lineRule="exact"/>
        <w:ind w:firstLine="640" w:firstLineChars="200"/>
        <w:rPr>
          <w:rFonts w:hint="eastAsia" w:ascii="仿宋_GB2312" w:hAnsi="仿宋_GB2312" w:eastAsia="仿宋_GB2312" w:cs="仿宋_GB2312"/>
          <w:color w:val="000000"/>
          <w:sz w:val="32"/>
          <w:szCs w:val="32"/>
          <w:highlight w:val="none"/>
          <w:lang w:eastAsia="zh-CN"/>
        </w:rPr>
      </w:pPr>
      <w:bookmarkStart w:id="4" w:name="5"/>
      <w:r>
        <w:rPr>
          <w:rFonts w:hint="eastAsia" w:ascii="黑体" w:eastAsia="黑体"/>
          <w:color w:val="000000"/>
          <w:sz w:val="32"/>
          <w:szCs w:val="32"/>
          <w:highlight w:val="none"/>
        </w:rPr>
        <w:t>第五条</w:t>
      </w:r>
      <w:bookmarkEnd w:id="4"/>
      <w:r>
        <w:rPr>
          <w:color w:val="000000"/>
          <w:sz w:val="32"/>
          <w:szCs w:val="32"/>
          <w:highlight w:val="none"/>
        </w:rPr>
        <w:t>　</w:t>
      </w:r>
      <w:r>
        <w:rPr>
          <w:rFonts w:hint="eastAsia" w:ascii="仿宋_GB2312" w:hAnsi="仿宋_GB2312" w:eastAsia="仿宋_GB2312" w:cs="仿宋_GB2312"/>
          <w:color w:val="000000"/>
          <w:sz w:val="32"/>
          <w:szCs w:val="32"/>
          <w:highlight w:val="none"/>
        </w:rPr>
        <w:t>风险可能导致的后果主要包括电网减供负荷或停电用户的比例</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以及机组故障停运、其他并网主体无序脱网、重要电力用户停电等对电网稳定运行和电力可靠供应的影响程度</w:t>
      </w:r>
      <w:r>
        <w:rPr>
          <w:rFonts w:hint="eastAsia" w:ascii="仿宋_GB2312" w:hAnsi="仿宋_GB2312" w:eastAsia="仿宋_GB2312" w:cs="仿宋_GB2312"/>
          <w:color w:val="000000"/>
          <w:sz w:val="32"/>
          <w:szCs w:val="32"/>
          <w:highlight w:val="none"/>
          <w:lang w:eastAsia="zh-CN"/>
        </w:rPr>
        <w:t>等指标</w:t>
      </w:r>
      <w:r>
        <w:rPr>
          <w:rFonts w:hint="eastAsia" w:ascii="仿宋_GB2312" w:hAnsi="仿宋_GB2312" w:eastAsia="仿宋_GB2312" w:cs="仿宋_GB2312"/>
          <w:color w:val="000000"/>
          <w:sz w:val="32"/>
          <w:szCs w:val="32"/>
          <w:highlight w:val="none"/>
        </w:rPr>
        <w:t>。</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bookmarkStart w:id="5" w:name="6"/>
      <w:r>
        <w:rPr>
          <w:rFonts w:hint="eastAsia" w:ascii="黑体" w:eastAsia="黑体"/>
          <w:color w:val="000000"/>
          <w:sz w:val="32"/>
          <w:szCs w:val="32"/>
        </w:rPr>
        <w:t>第六条</w:t>
      </w:r>
      <w:r>
        <w:rPr>
          <w:color w:val="000000"/>
          <w:sz w:val="32"/>
          <w:szCs w:val="32"/>
        </w:rPr>
        <w:t>　</w:t>
      </w:r>
      <w:r>
        <w:rPr>
          <w:rFonts w:hint="eastAsia" w:ascii="仿宋_GB2312" w:hAnsi="仿宋_GB2312" w:eastAsia="仿宋_GB2312" w:cs="仿宋_GB2312"/>
          <w:color w:val="000000"/>
          <w:sz w:val="32"/>
          <w:szCs w:val="32"/>
        </w:rPr>
        <w:t>风险形成原因主要包括电网结构、电源布局、负荷特性、设备状态、启动调试、人员行为、自然灾害、外力破坏等因素。部分风险可以由多个原因组合而成。</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黑体" w:eastAsia="黑体"/>
          <w:color w:val="000000"/>
          <w:sz w:val="32"/>
          <w:szCs w:val="32"/>
        </w:rPr>
        <w:t>第七条</w:t>
      </w:r>
      <w:bookmarkEnd w:id="5"/>
      <w:r>
        <w:rPr>
          <w:color w:val="000000"/>
          <w:sz w:val="32"/>
          <w:szCs w:val="32"/>
        </w:rPr>
        <w:t>　</w:t>
      </w:r>
      <w:r>
        <w:rPr>
          <w:rFonts w:hint="eastAsia" w:ascii="仿宋_GB2312" w:hAnsi="仿宋_GB2312" w:eastAsia="仿宋_GB2312" w:cs="仿宋_GB2312"/>
          <w:color w:val="000000"/>
          <w:sz w:val="32"/>
          <w:szCs w:val="32"/>
        </w:rPr>
        <w:t>故障场景可参照《电力系统安全稳定导则》规定的三级大扰动，各电力企业可根据实际情况将第三级大扰动中的多重故障、其他偶然因素进行细化。</w:t>
      </w:r>
    </w:p>
    <w:p>
      <w:pPr>
        <w:pStyle w:val="18"/>
        <w:snapToGrid w:val="0"/>
        <w:spacing w:line="580" w:lineRule="exact"/>
        <w:outlineLvl w:val="0"/>
        <w:rPr>
          <w:sz w:val="32"/>
          <w:szCs w:val="32"/>
        </w:rPr>
      </w:pPr>
      <w:r>
        <w:rPr>
          <w:sz w:val="32"/>
          <w:szCs w:val="32"/>
        </w:rPr>
        <w:t>第三章　电网安全风险</w:t>
      </w:r>
      <w:r>
        <w:rPr>
          <w:rFonts w:hint="eastAsia"/>
          <w:sz w:val="32"/>
          <w:szCs w:val="32"/>
        </w:rPr>
        <w:t>定</w:t>
      </w:r>
      <w:r>
        <w:rPr>
          <w:sz w:val="32"/>
          <w:szCs w:val="32"/>
        </w:rPr>
        <w:t>级</w:t>
      </w:r>
      <w:bookmarkStart w:id="6" w:name="8"/>
    </w:p>
    <w:p>
      <w:pPr>
        <w:topLinePunct/>
        <w:adjustRightInd w:val="0"/>
        <w:snapToGrid w:val="0"/>
        <w:spacing w:line="580" w:lineRule="exact"/>
        <w:ind w:firstLine="640" w:firstLineChars="200"/>
        <w:rPr>
          <w:color w:val="000000"/>
          <w:sz w:val="32"/>
          <w:szCs w:val="32"/>
        </w:rPr>
      </w:pPr>
      <w:r>
        <w:rPr>
          <w:rFonts w:hint="eastAsia" w:ascii="黑体" w:eastAsia="黑体"/>
          <w:color w:val="000000"/>
          <w:sz w:val="32"/>
          <w:szCs w:val="32"/>
        </w:rPr>
        <w:t>第八条</w:t>
      </w:r>
      <w:bookmarkEnd w:id="6"/>
      <w:r>
        <w:rPr>
          <w:color w:val="000000"/>
          <w:sz w:val="32"/>
          <w:szCs w:val="32"/>
        </w:rPr>
        <w:t>　</w:t>
      </w:r>
      <w:r>
        <w:rPr>
          <w:rFonts w:hint="eastAsia" w:ascii="仿宋_GB2312" w:hAnsi="仿宋_GB2312" w:eastAsia="仿宋_GB2312" w:cs="仿宋_GB2312"/>
          <w:color w:val="000000"/>
          <w:sz w:val="32"/>
          <w:szCs w:val="32"/>
        </w:rPr>
        <w:t>电网企业及其电力调度机构负责组织进行风险定级，为电网风险的监视、控制和治理提供依据。</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黑体" w:eastAsia="黑体"/>
          <w:color w:val="000000"/>
          <w:sz w:val="32"/>
          <w:szCs w:val="32"/>
        </w:rPr>
        <w:t>第九条</w:t>
      </w:r>
      <w:r>
        <w:rPr>
          <w:color w:val="000000"/>
          <w:sz w:val="32"/>
          <w:szCs w:val="32"/>
        </w:rPr>
        <w:t>　</w:t>
      </w:r>
      <w:bookmarkStart w:id="7" w:name="9"/>
      <w:r>
        <w:rPr>
          <w:rFonts w:hint="eastAsia" w:ascii="仿宋_GB2312" w:hAnsi="仿宋_GB2312" w:eastAsia="仿宋_GB2312" w:cs="仿宋_GB2312"/>
          <w:color w:val="000000"/>
          <w:sz w:val="32"/>
          <w:szCs w:val="32"/>
        </w:rPr>
        <w:t>电网安全风险等级按以下原则划分。对于可能导致特别重大电力安全事故的风险，定义为一级风险；对于可能导致重大电力安全事故的风险，定义为二级风险；对于可能导致较大电力安全事故的风险，定义为三级风险；对于可能导致一般电力安全事故、县域电网全停的风险，定义为四级风险；其他风险由电网企业及其电力调度机构自行定义。</w:t>
      </w:r>
    </w:p>
    <w:bookmarkEnd w:id="7"/>
    <w:p>
      <w:pPr>
        <w:pStyle w:val="18"/>
        <w:snapToGrid w:val="0"/>
        <w:spacing w:line="580" w:lineRule="exact"/>
        <w:outlineLvl w:val="0"/>
        <w:rPr>
          <w:sz w:val="32"/>
          <w:szCs w:val="32"/>
        </w:rPr>
      </w:pPr>
      <w:r>
        <w:rPr>
          <w:sz w:val="32"/>
          <w:szCs w:val="32"/>
        </w:rPr>
        <w:t>第四章　电网安全风险监视</w:t>
      </w:r>
      <w:bookmarkStart w:id="8" w:name="10"/>
    </w:p>
    <w:p>
      <w:pPr>
        <w:pStyle w:val="2"/>
        <w:adjustRightInd w:val="0"/>
        <w:snapToGrid w:val="0"/>
        <w:spacing w:before="0" w:after="0" w:line="580" w:lineRule="exact"/>
        <w:ind w:firstLine="640" w:firstLineChars="200"/>
        <w:rPr>
          <w:rFonts w:ascii="黑体" w:hAnsi="Times New Roman" w:eastAsia="黑体"/>
          <w:b w:val="0"/>
          <w:bCs w:val="0"/>
          <w:color w:val="000000"/>
          <w:kern w:val="2"/>
          <w:sz w:val="32"/>
          <w:lang w:val="en-US" w:eastAsia="zh-CN" w:bidi="ar-SA"/>
        </w:rPr>
      </w:pPr>
      <w:r>
        <w:rPr>
          <w:rFonts w:hint="eastAsia" w:ascii="黑体" w:hAnsi="Times New Roman" w:eastAsia="黑体"/>
          <w:b w:val="0"/>
          <w:bCs w:val="0"/>
          <w:color w:val="000000"/>
          <w:kern w:val="2"/>
          <w:sz w:val="32"/>
          <w:lang w:val="en-US" w:eastAsia="zh-CN" w:bidi="ar-SA"/>
        </w:rPr>
        <w:t>第十条</w:t>
      </w:r>
      <w:bookmarkEnd w:id="8"/>
      <w:r>
        <w:rPr>
          <w:rFonts w:ascii="黑体" w:hAnsi="Times New Roman" w:eastAsia="黑体"/>
          <w:b w:val="0"/>
          <w:bCs w:val="0"/>
          <w:color w:val="000000"/>
          <w:kern w:val="2"/>
          <w:sz w:val="32"/>
          <w:lang w:val="en-US" w:eastAsia="zh-CN" w:bidi="ar-SA"/>
        </w:rPr>
        <w:t>　</w:t>
      </w:r>
      <w:r>
        <w:rPr>
          <w:rFonts w:ascii="仿宋_GB2312" w:hAnsi="仿宋_GB2312" w:eastAsia="仿宋_GB2312" w:cs="仿宋_GB2312"/>
          <w:b w:val="0"/>
          <w:bCs w:val="0"/>
          <w:color w:val="000000"/>
          <w:kern w:val="2"/>
          <w:sz w:val="32"/>
          <w:lang w:val="en-US" w:eastAsia="zh-CN" w:bidi="ar-SA"/>
        </w:rPr>
        <w:t>电网安全风险监视</w:t>
      </w:r>
      <w:r>
        <w:rPr>
          <w:rFonts w:hint="eastAsia" w:ascii="仿宋_GB2312" w:hAnsi="仿宋_GB2312" w:eastAsia="仿宋_GB2312" w:cs="仿宋_GB2312"/>
          <w:b w:val="0"/>
          <w:bCs w:val="0"/>
          <w:color w:val="000000"/>
          <w:kern w:val="2"/>
          <w:sz w:val="32"/>
          <w:lang w:val="en-US" w:eastAsia="zh-CN" w:bidi="ar-SA"/>
        </w:rPr>
        <w:t>应遵循分区分级的原则，跟踪风险的发展变化情况，动态识别电网安全风险。</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bookmarkStart w:id="9" w:name="11"/>
      <w:r>
        <w:rPr>
          <w:rFonts w:hint="eastAsia" w:ascii="黑体" w:eastAsia="黑体"/>
          <w:color w:val="000000"/>
          <w:sz w:val="32"/>
          <w:szCs w:val="32"/>
        </w:rPr>
        <w:t>第</w:t>
      </w:r>
      <w:r>
        <w:rPr>
          <w:rFonts w:hint="eastAsia" w:ascii="黑体" w:hAnsi="宋体" w:eastAsia="黑体"/>
          <w:color w:val="000000"/>
          <w:sz w:val="32"/>
          <w:szCs w:val="32"/>
        </w:rPr>
        <w:t>十一</w:t>
      </w:r>
      <w:r>
        <w:rPr>
          <w:rFonts w:hint="eastAsia" w:ascii="黑体" w:eastAsia="黑体"/>
          <w:color w:val="000000"/>
          <w:sz w:val="32"/>
          <w:szCs w:val="32"/>
        </w:rPr>
        <w:t>条</w:t>
      </w:r>
      <w:bookmarkEnd w:id="9"/>
      <w:r>
        <w:rPr>
          <w:color w:val="000000"/>
          <w:sz w:val="32"/>
          <w:szCs w:val="32"/>
        </w:rPr>
        <w:t>　</w:t>
      </w:r>
      <w:r>
        <w:rPr>
          <w:rFonts w:hint="eastAsia" w:ascii="仿宋_GB2312" w:hAnsi="仿宋_GB2312" w:eastAsia="仿宋_GB2312" w:cs="仿宋_GB2312"/>
          <w:color w:val="000000"/>
          <w:sz w:val="32"/>
          <w:szCs w:val="32"/>
        </w:rPr>
        <w:t>对于跨区电网风险，由国家电网有限公司负责监视，国家能源局负责相关工作的监督指导；对于区域内跨省电网风险，由当地区域电网企业负责监视，国家能源局当地区域派出机构负责相关工作的监督指导；对于省内电网风险，由当地电网企业负责监视，国家能源局当地派出机构</w:t>
      </w:r>
      <w:r>
        <w:rPr>
          <w:rFonts w:hint="eastAsia" w:ascii="仿宋_GB2312" w:hAnsi="仿宋_GB2312" w:eastAsia="仿宋_GB2312" w:cs="仿宋_GB2312"/>
          <w:b w:val="0"/>
          <w:bCs w:val="0"/>
          <w:color w:val="auto"/>
          <w:sz w:val="32"/>
          <w:szCs w:val="32"/>
        </w:rPr>
        <w:t>、地方电力管理部门按照各自职责</w:t>
      </w:r>
      <w:r>
        <w:rPr>
          <w:rFonts w:hint="eastAsia" w:ascii="仿宋_GB2312" w:hAnsi="仿宋_GB2312" w:eastAsia="仿宋_GB2312" w:cs="仿宋_GB2312"/>
          <w:color w:val="000000"/>
          <w:sz w:val="32"/>
          <w:szCs w:val="32"/>
        </w:rPr>
        <w:t>，负责相关工作的监督指导。</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bookmarkStart w:id="10" w:name="12"/>
      <w:r>
        <w:rPr>
          <w:rFonts w:hint="eastAsia" w:ascii="黑体" w:hAnsi="宋体" w:eastAsia="黑体"/>
          <w:color w:val="000000"/>
          <w:sz w:val="32"/>
          <w:szCs w:val="32"/>
        </w:rPr>
        <w:t>第</w:t>
      </w:r>
      <w:r>
        <w:rPr>
          <w:rFonts w:hint="eastAsia" w:ascii="黑体" w:eastAsia="黑体"/>
          <w:color w:val="000000"/>
          <w:sz w:val="32"/>
          <w:szCs w:val="32"/>
        </w:rPr>
        <w:t>十二</w:t>
      </w:r>
      <w:r>
        <w:rPr>
          <w:rFonts w:hint="eastAsia" w:ascii="黑体" w:hAnsi="宋体" w:eastAsia="黑体"/>
          <w:color w:val="000000"/>
          <w:sz w:val="32"/>
          <w:szCs w:val="32"/>
        </w:rPr>
        <w:t>条</w:t>
      </w:r>
      <w:bookmarkEnd w:id="10"/>
      <w:r>
        <w:rPr>
          <w:color w:val="000000"/>
          <w:sz w:val="32"/>
          <w:szCs w:val="32"/>
        </w:rPr>
        <w:t>　</w:t>
      </w:r>
      <w:r>
        <w:rPr>
          <w:rFonts w:hint="eastAsia" w:ascii="仿宋_GB2312" w:hAnsi="仿宋_GB2312" w:eastAsia="仿宋_GB2312" w:cs="仿宋_GB2312"/>
          <w:color w:val="000000"/>
          <w:sz w:val="32"/>
          <w:szCs w:val="32"/>
        </w:rPr>
        <w:t>对于四级以上电网安全风险，相关电网企业应按照第十一条所列监督指导关系，报告国家能源局或有关派出机构、地方电力管理部门；对于二级以上非跨区电网安全风险，国家能源局当地派出机构应上报国家能源局；对于其他电网安全风险，由相关电网企业自行监视。</w:t>
      </w:r>
    </w:p>
    <w:p>
      <w:pPr>
        <w:pStyle w:val="18"/>
        <w:snapToGrid w:val="0"/>
        <w:spacing w:line="580" w:lineRule="exact"/>
        <w:outlineLvl w:val="0"/>
        <w:rPr>
          <w:sz w:val="32"/>
          <w:szCs w:val="32"/>
        </w:rPr>
      </w:pPr>
      <w:r>
        <w:rPr>
          <w:sz w:val="32"/>
          <w:szCs w:val="32"/>
        </w:rPr>
        <w:t>第</w:t>
      </w:r>
      <w:r>
        <w:rPr>
          <w:rFonts w:hint="eastAsia"/>
          <w:sz w:val="32"/>
          <w:szCs w:val="32"/>
        </w:rPr>
        <w:t>五</w:t>
      </w:r>
      <w:r>
        <w:rPr>
          <w:sz w:val="32"/>
          <w:szCs w:val="32"/>
        </w:rPr>
        <w:t>章　电网安全风险控制</w:t>
      </w:r>
      <w:bookmarkStart w:id="11" w:name="13"/>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黑体" w:eastAsia="黑体"/>
          <w:color w:val="000000"/>
          <w:sz w:val="32"/>
          <w:szCs w:val="32"/>
        </w:rPr>
        <w:t>第十三条</w:t>
      </w:r>
      <w:bookmarkEnd w:id="11"/>
      <w:r>
        <w:rPr>
          <w:color w:val="000000"/>
          <w:sz w:val="32"/>
          <w:szCs w:val="32"/>
        </w:rPr>
        <w:t>　</w:t>
      </w:r>
      <w:r>
        <w:rPr>
          <w:rFonts w:hint="eastAsia" w:ascii="仿宋_GB2312" w:hAnsi="仿宋_GB2312" w:eastAsia="仿宋_GB2312" w:cs="仿宋_GB2312"/>
          <w:color w:val="000000"/>
          <w:sz w:val="32"/>
          <w:szCs w:val="32"/>
        </w:rPr>
        <w:t>电网企业及其电力调度机构、发电企业、电力用户和其他并网主体的业主单位负责管辖范围内风险控制措施的落实，国家能源局及其派出机构、地方电力管理部门负责督促指导各自职责范围内的风险控制工作。</w:t>
      </w:r>
    </w:p>
    <w:p>
      <w:pPr>
        <w:topLinePunct/>
        <w:adjustRightInd w:val="0"/>
        <w:snapToGrid w:val="0"/>
        <w:spacing w:line="580" w:lineRule="exact"/>
        <w:ind w:firstLine="640" w:firstLineChars="200"/>
        <w:rPr>
          <w:color w:val="000000"/>
          <w:sz w:val="32"/>
          <w:szCs w:val="32"/>
        </w:rPr>
      </w:pPr>
      <w:bookmarkStart w:id="12" w:name="14"/>
      <w:r>
        <w:rPr>
          <w:rFonts w:hint="eastAsia" w:ascii="黑体" w:eastAsia="黑体"/>
          <w:color w:val="000000"/>
          <w:sz w:val="32"/>
          <w:szCs w:val="32"/>
        </w:rPr>
        <w:t>第</w:t>
      </w:r>
      <w:r>
        <w:rPr>
          <w:rFonts w:hint="eastAsia" w:ascii="黑体" w:eastAsia="黑体"/>
          <w:bCs/>
          <w:sz w:val="32"/>
          <w:szCs w:val="32"/>
        </w:rPr>
        <w:t>十四</w:t>
      </w:r>
      <w:r>
        <w:rPr>
          <w:rFonts w:hint="eastAsia" w:ascii="黑体" w:eastAsia="黑体"/>
          <w:color w:val="000000"/>
          <w:sz w:val="32"/>
          <w:szCs w:val="32"/>
        </w:rPr>
        <w:t>条</w:t>
      </w:r>
      <w:bookmarkEnd w:id="12"/>
      <w:r>
        <w:rPr>
          <w:rFonts w:hint="eastAsia"/>
          <w:color w:val="000000"/>
          <w:sz w:val="32"/>
          <w:szCs w:val="32"/>
        </w:rPr>
        <w:t>　</w:t>
      </w:r>
      <w:r>
        <w:rPr>
          <w:rFonts w:hint="eastAsia" w:ascii="仿宋_GB2312" w:hAnsi="仿宋_GB2312" w:eastAsia="仿宋_GB2312" w:cs="仿宋_GB2312"/>
          <w:color w:val="000000"/>
          <w:sz w:val="32"/>
          <w:szCs w:val="32"/>
        </w:rPr>
        <w:t>对于四级以上风险，电网企业及其电力调度机构应制定风险控制方案。风险控制方案应符合国家有关法规和技术规定、规程等的要求，综合考虑风险控制方法与途径，必要时与发电企业、电力用户等其他风险相关方进行沟通和说明，确保风险控制方案的可行性和控制措施的可操作性。</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对于其他风险，电网企业及其电力调度机构需明确控制措施。</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黑体" w:eastAsia="黑体"/>
          <w:color w:val="000000"/>
          <w:sz w:val="32"/>
          <w:szCs w:val="32"/>
        </w:rPr>
        <w:t>第</w:t>
      </w:r>
      <w:r>
        <w:rPr>
          <w:rFonts w:hint="eastAsia" w:ascii="黑体" w:eastAsia="黑体"/>
          <w:bCs/>
          <w:sz w:val="32"/>
          <w:szCs w:val="32"/>
        </w:rPr>
        <w:t>十五</w:t>
      </w:r>
      <w:r>
        <w:rPr>
          <w:rFonts w:hint="eastAsia" w:ascii="黑体" w:eastAsia="黑体"/>
          <w:color w:val="000000"/>
          <w:sz w:val="32"/>
          <w:szCs w:val="32"/>
        </w:rPr>
        <w:t>条</w:t>
      </w:r>
      <w:r>
        <w:rPr>
          <w:rFonts w:hint="eastAsia"/>
          <w:color w:val="000000"/>
          <w:sz w:val="32"/>
          <w:szCs w:val="32"/>
        </w:rPr>
        <w:t>　</w:t>
      </w:r>
      <w:r>
        <w:rPr>
          <w:rFonts w:hint="eastAsia" w:ascii="仿宋_GB2312" w:hAnsi="仿宋_GB2312" w:eastAsia="仿宋_GB2312" w:cs="仿宋_GB2312"/>
          <w:color w:val="000000"/>
          <w:sz w:val="32"/>
          <w:szCs w:val="32"/>
        </w:rPr>
        <w:t>电网企业、发电企业、电力用户和其他并网主体的业主单位应落实各自责任，保证风险控制所需的人力、物力、财力，确保风险控制方案和措施落实到位。</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黑体" w:eastAsia="黑体"/>
          <w:color w:val="000000"/>
          <w:sz w:val="32"/>
          <w:szCs w:val="32"/>
        </w:rPr>
        <w:t>第十六条</w:t>
      </w:r>
      <w:r>
        <w:rPr>
          <w:color w:val="000000"/>
          <w:sz w:val="32"/>
          <w:szCs w:val="32"/>
        </w:rPr>
        <w:t>　</w:t>
      </w:r>
      <w:r>
        <w:rPr>
          <w:rFonts w:hint="eastAsia" w:ascii="仿宋_GB2312" w:hAnsi="仿宋_GB2312" w:eastAsia="仿宋_GB2312" w:cs="仿宋_GB2312"/>
          <w:color w:val="000000"/>
          <w:sz w:val="32"/>
          <w:szCs w:val="32"/>
        </w:rPr>
        <w:t>电网企业、发电企业、电力用户和其他并网主体的业主单位应综合采取降低风险概率、减轻风险后果、实施应急处置等措施，控制电网安全风险。</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降低风险概率的措施包括但不限于专项隐患排查、组织设备特巡、精心挑选作业人员、加强现场安全监督、加强设备技术监督管理。</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减轻风险后果的措施包括但不限于提前预警灾害性天气、转移负荷、调整运行方式、合理安排作业时间、提前告知用户安全风险、采取需求侧管理措施、开展反事故应急演练。</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实施应急处置的措施包括但不限于启用应急处置方案、开启或者关停发电机组、调整调度计划、取消市场出清结果。</w:t>
      </w:r>
    </w:p>
    <w:p>
      <w:pPr>
        <w:topLinePunct/>
        <w:adjustRightInd w:val="0"/>
        <w:snapToGrid w:val="0"/>
        <w:spacing w:line="580" w:lineRule="exact"/>
        <w:ind w:firstLine="640" w:firstLineChars="200"/>
        <w:rPr>
          <w:rFonts w:hint="eastAsia" w:ascii="仿宋_GB2312" w:hAnsi="仿宋_GB2312" w:eastAsia="仿宋_GB2312" w:cs="仿宋_GB2312"/>
          <w:b/>
          <w:bCs/>
          <w:color w:val="auto"/>
          <w:sz w:val="32"/>
          <w:szCs w:val="32"/>
          <w:highlight w:val="none"/>
          <w:lang w:eastAsia="zh-CN"/>
        </w:rPr>
      </w:pPr>
      <w:r>
        <w:rPr>
          <w:rFonts w:hint="eastAsia" w:ascii="黑体" w:eastAsia="黑体"/>
          <w:color w:val="auto"/>
          <w:sz w:val="32"/>
          <w:szCs w:val="32"/>
          <w:highlight w:val="none"/>
        </w:rPr>
        <w:t>第十七条</w:t>
      </w:r>
      <w:r>
        <w:rPr>
          <w:b/>
          <w:bCs/>
          <w:color w:val="auto"/>
          <w:sz w:val="32"/>
          <w:szCs w:val="32"/>
          <w:highlight w:val="none"/>
        </w:rPr>
        <w:t>　</w:t>
      </w:r>
      <w:r>
        <w:rPr>
          <w:rFonts w:hint="eastAsia" w:ascii="仿宋_GB2312" w:hAnsi="仿宋_GB2312" w:eastAsia="仿宋_GB2312" w:cs="仿宋_GB2312"/>
          <w:b w:val="0"/>
          <w:bCs w:val="0"/>
          <w:color w:val="auto"/>
          <w:sz w:val="32"/>
          <w:szCs w:val="32"/>
          <w:highlight w:val="none"/>
        </w:rPr>
        <w:t>可能对发电企业、电力用户造成影响的电网风险，电网企业及其电力调度机构应及时做好风险告知和说明；由于发电企业、电力用户自身原因可能影响电网安全运行的，应及时向电网企业及其电力调度机构报告。</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bookmarkStart w:id="13" w:name="17"/>
      <w:r>
        <w:rPr>
          <w:rFonts w:hint="eastAsia" w:ascii="黑体" w:eastAsia="黑体"/>
          <w:color w:val="000000"/>
          <w:sz w:val="32"/>
          <w:szCs w:val="32"/>
        </w:rPr>
        <w:t>第十八条</w:t>
      </w:r>
      <w:bookmarkEnd w:id="13"/>
      <w:r>
        <w:rPr>
          <w:color w:val="000000"/>
          <w:sz w:val="32"/>
          <w:szCs w:val="32"/>
        </w:rPr>
        <w:t>　</w:t>
      </w:r>
      <w:r>
        <w:rPr>
          <w:rFonts w:hint="eastAsia" w:ascii="仿宋_GB2312" w:hAnsi="仿宋_GB2312" w:eastAsia="仿宋_GB2312" w:cs="仿宋_GB2312"/>
          <w:color w:val="000000"/>
          <w:sz w:val="32"/>
          <w:szCs w:val="32"/>
        </w:rPr>
        <w:t>电网企业及其电力调度机构应对风险控制方案或措施的实施效果进行评估，其他风险相关方的上级单位应对下级单位风险控制方案或措施的落实情况进行检查，确保风险控制措施得到有效实施。</w:t>
      </w:r>
    </w:p>
    <w:p>
      <w:pPr>
        <w:pStyle w:val="18"/>
        <w:snapToGrid w:val="0"/>
        <w:spacing w:line="580" w:lineRule="exact"/>
        <w:outlineLvl w:val="0"/>
        <w:rPr>
          <w:color w:val="auto"/>
          <w:sz w:val="32"/>
          <w:szCs w:val="32"/>
        </w:rPr>
      </w:pPr>
      <w:r>
        <w:rPr>
          <w:rFonts w:hint="eastAsia"/>
          <w:color w:val="auto"/>
          <w:sz w:val="32"/>
          <w:szCs w:val="32"/>
        </w:rPr>
        <w:t>第六章　电网安全风险治理</w:t>
      </w:r>
    </w:p>
    <w:p>
      <w:pPr>
        <w:topLinePunct/>
        <w:adjustRightInd w:val="0"/>
        <w:snapToGrid w:val="0"/>
        <w:spacing w:line="580" w:lineRule="exact"/>
        <w:ind w:firstLine="640" w:firstLineChars="200"/>
        <w:rPr>
          <w:color w:val="000000"/>
          <w:sz w:val="32"/>
          <w:szCs w:val="32"/>
        </w:rPr>
      </w:pPr>
      <w:r>
        <w:rPr>
          <w:rFonts w:hint="eastAsia" w:ascii="黑体" w:eastAsia="黑体"/>
          <w:color w:val="000000"/>
          <w:sz w:val="32"/>
          <w:szCs w:val="32"/>
        </w:rPr>
        <w:t>第</w:t>
      </w:r>
      <w:r>
        <w:rPr>
          <w:rFonts w:hint="eastAsia" w:ascii="黑体" w:eastAsia="黑体"/>
          <w:bCs/>
          <w:sz w:val="32"/>
          <w:szCs w:val="32"/>
        </w:rPr>
        <w:t>十九</w:t>
      </w:r>
      <w:r>
        <w:rPr>
          <w:rFonts w:hint="eastAsia" w:ascii="黑体" w:eastAsia="黑体"/>
          <w:color w:val="000000"/>
          <w:sz w:val="32"/>
          <w:szCs w:val="32"/>
        </w:rPr>
        <w:t>条</w:t>
      </w:r>
      <w:r>
        <w:rPr>
          <w:color w:val="000000"/>
          <w:sz w:val="32"/>
          <w:szCs w:val="32"/>
        </w:rPr>
        <w:t>　</w:t>
      </w:r>
      <w:r>
        <w:rPr>
          <w:rFonts w:hint="eastAsia" w:ascii="仿宋_GB2312" w:hAnsi="仿宋_GB2312" w:eastAsia="仿宋_GB2312" w:cs="仿宋_GB2312"/>
          <w:color w:val="000000"/>
          <w:sz w:val="32"/>
          <w:szCs w:val="32"/>
        </w:rPr>
        <w:t>电网安全风险治理应遵循源头治理、综合治理的原则，从根本上防范化解电网安全风险。</w:t>
      </w:r>
    </w:p>
    <w:p>
      <w:pPr>
        <w:topLinePunct/>
        <w:adjustRightInd w:val="0"/>
        <w:snapToGrid w:val="0"/>
        <w:spacing w:line="580" w:lineRule="exact"/>
        <w:ind w:firstLine="640" w:firstLineChars="200"/>
        <w:rPr>
          <w:rFonts w:hint="eastAsia" w:ascii="仿宋_GB2312" w:hAnsi="仿宋_GB2312" w:eastAsia="仿宋_GB2312"/>
          <w:bCs/>
          <w:sz w:val="32"/>
          <w:szCs w:val="32"/>
        </w:rPr>
      </w:pPr>
      <w:r>
        <w:rPr>
          <w:rFonts w:hint="eastAsia" w:ascii="黑体" w:eastAsia="黑体"/>
          <w:bCs/>
          <w:sz w:val="32"/>
          <w:szCs w:val="32"/>
        </w:rPr>
        <w:t>第二十条</w:t>
      </w:r>
      <w:r>
        <w:rPr>
          <w:b/>
          <w:color w:val="FF0000"/>
          <w:sz w:val="32"/>
          <w:szCs w:val="32"/>
        </w:rPr>
        <w:t>　</w:t>
      </w:r>
      <w:r>
        <w:rPr>
          <w:rFonts w:hint="eastAsia" w:ascii="仿宋_GB2312" w:hAnsi="仿宋_GB2312" w:eastAsia="仿宋_GB2312"/>
          <w:bCs/>
          <w:sz w:val="32"/>
          <w:szCs w:val="32"/>
        </w:rPr>
        <w:t>风险治理应与规划工作相结合。规划时应开展电网安全风险评估，将评估结果纳入规划方案安全性评价。应统筹电源布局和廊道空间，增强电网网架结构，加强调峰能力建设，开展安全稳定计算</w:t>
      </w:r>
      <w:r>
        <w:rPr>
          <w:rFonts w:hint="eastAsia" w:ascii="仿宋_GB2312" w:hAnsi="仿宋_GB2312" w:eastAsia="仿宋_GB2312"/>
          <w:bCs/>
          <w:sz w:val="32"/>
          <w:szCs w:val="32"/>
          <w:lang w:eastAsia="zh-CN"/>
        </w:rPr>
        <w:t>，</w:t>
      </w:r>
      <w:r>
        <w:rPr>
          <w:rFonts w:hint="eastAsia" w:ascii="仿宋_GB2312" w:hAnsi="仿宋_GB2312" w:eastAsia="仿宋_GB2312"/>
          <w:bCs/>
          <w:sz w:val="32"/>
          <w:szCs w:val="32"/>
        </w:rPr>
        <w:t>合理安排规划项目实施次序，减少存量电网风险。</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黑体" w:eastAsia="黑体"/>
          <w:bCs/>
          <w:sz w:val="32"/>
          <w:szCs w:val="32"/>
        </w:rPr>
        <w:t>第二十一条</w:t>
      </w:r>
      <w:r>
        <w:rPr>
          <w:b/>
          <w:color w:val="FF0000"/>
          <w:sz w:val="32"/>
          <w:szCs w:val="32"/>
        </w:rPr>
        <w:t>　</w:t>
      </w:r>
      <w:r>
        <w:rPr>
          <w:rFonts w:hint="eastAsia" w:ascii="仿宋_GB2312" w:hAnsi="仿宋_GB2312" w:eastAsia="仿宋_GB2312" w:cs="仿宋_GB2312"/>
          <w:color w:val="000000"/>
          <w:sz w:val="32"/>
          <w:szCs w:val="32"/>
        </w:rPr>
        <w:t>风险治理应与设计工作相结合。设计时应综合考虑运行环境、用电需求、负荷特性等因素，全面细致开展勘察，实施差异化设计，做好设备选型，提高系统抵御风险能力。</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黑体" w:eastAsia="黑体"/>
          <w:bCs/>
          <w:sz w:val="32"/>
          <w:szCs w:val="32"/>
        </w:rPr>
        <w:t>第二十二条</w:t>
      </w:r>
      <w:r>
        <w:rPr>
          <w:rFonts w:hint="eastAsia"/>
          <w:b/>
          <w:color w:val="FF0000"/>
          <w:sz w:val="32"/>
          <w:szCs w:val="32"/>
        </w:rPr>
        <w:t>　</w:t>
      </w:r>
      <w:r>
        <w:rPr>
          <w:rFonts w:hint="eastAsia" w:ascii="仿宋_GB2312" w:hAnsi="仿宋_GB2312" w:eastAsia="仿宋_GB2312" w:cs="仿宋_GB2312"/>
          <w:color w:val="000000"/>
          <w:sz w:val="32"/>
          <w:szCs w:val="32"/>
        </w:rPr>
        <w:t>风险治理应与建设施工相结合。通过</w:t>
      </w:r>
      <w:r>
        <w:rPr>
          <w:rFonts w:hint="eastAsia" w:ascii="仿宋_GB2312" w:hAnsi="仿宋_GB2312" w:eastAsia="仿宋_GB2312" w:cs="仿宋_GB2312"/>
          <w:b w:val="0"/>
          <w:bCs w:val="0"/>
          <w:color w:val="000000" w:themeColor="text1"/>
          <w:sz w:val="32"/>
          <w:szCs w:val="32"/>
          <w14:textFill>
            <w14:solidFill>
              <w14:schemeClr w14:val="tx1"/>
            </w14:solidFill>
          </w14:textFill>
        </w:rPr>
        <w:t>合理优化施工方案，</w:t>
      </w:r>
      <w:bookmarkStart w:id="19" w:name="_GoBack"/>
      <w:bookmarkEnd w:id="19"/>
      <w:r>
        <w:rPr>
          <w:rFonts w:hint="eastAsia" w:ascii="仿宋_GB2312" w:hAnsi="仿宋_GB2312" w:eastAsia="仿宋_GB2312" w:cs="仿宋_GB2312"/>
          <w:b w:val="0"/>
          <w:bCs w:val="0"/>
          <w:color w:val="000000" w:themeColor="text1"/>
          <w:sz w:val="32"/>
          <w:szCs w:val="32"/>
          <w14:textFill>
            <w14:solidFill>
              <w14:schemeClr w14:val="tx1"/>
            </w14:solidFill>
          </w14:textFill>
        </w:rPr>
        <w:t>加强施工质量、</w:t>
      </w:r>
      <w:r>
        <w:rPr>
          <w:rFonts w:hint="eastAsia" w:ascii="仿宋_GB2312" w:hAnsi="仿宋_GB2312" w:eastAsia="仿宋_GB2312" w:cs="仿宋_GB2312"/>
          <w:color w:val="000000"/>
          <w:sz w:val="32"/>
          <w:szCs w:val="32"/>
        </w:rPr>
        <w:t>进度管控，提升建设施工水平，严格竣工验收，确保电网建设工程质量。</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黑体" w:eastAsia="黑体"/>
          <w:sz w:val="32"/>
          <w:szCs w:val="32"/>
        </w:rPr>
        <w:t>第二十三条</w:t>
      </w:r>
      <w:r>
        <w:rPr>
          <w:rFonts w:ascii="黑体" w:eastAsia="黑体"/>
          <w:b/>
          <w:sz w:val="32"/>
          <w:szCs w:val="32"/>
        </w:rPr>
        <w:t>　</w:t>
      </w:r>
      <w:r>
        <w:rPr>
          <w:rFonts w:hint="eastAsia" w:ascii="仿宋_GB2312" w:hAnsi="仿宋_GB2312" w:eastAsia="仿宋_GB2312" w:cs="仿宋_GB2312"/>
          <w:color w:val="000000"/>
          <w:sz w:val="32"/>
          <w:szCs w:val="32"/>
        </w:rPr>
        <w:t>风险治理应与生产计划安排相结合。在夏(冬)高峰、丰(枯)水期、重要保电、配合大型工程建设等特殊时期，科学安排运行方式，优化电网检修计划，确保电网安全稳定运行。</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黑体" w:eastAsia="黑体"/>
          <w:bCs/>
          <w:sz w:val="32"/>
          <w:szCs w:val="32"/>
        </w:rPr>
        <w:t>第</w:t>
      </w:r>
      <w:r>
        <w:rPr>
          <w:rFonts w:hint="eastAsia" w:ascii="黑体" w:eastAsia="黑体"/>
          <w:color w:val="000000"/>
          <w:sz w:val="32"/>
          <w:szCs w:val="32"/>
        </w:rPr>
        <w:t>二十四</w:t>
      </w:r>
      <w:r>
        <w:rPr>
          <w:rFonts w:hint="eastAsia" w:ascii="黑体" w:eastAsia="黑体"/>
          <w:bCs/>
          <w:sz w:val="32"/>
          <w:szCs w:val="32"/>
        </w:rPr>
        <w:t>条</w:t>
      </w:r>
      <w:r>
        <w:rPr>
          <w:b/>
          <w:color w:val="FF0000"/>
          <w:sz w:val="32"/>
          <w:szCs w:val="32"/>
        </w:rPr>
        <w:t>　</w:t>
      </w:r>
      <w:r>
        <w:rPr>
          <w:rFonts w:hint="eastAsia" w:ascii="仿宋_GB2312" w:hAnsi="仿宋_GB2312" w:eastAsia="仿宋_GB2312" w:cs="仿宋_GB2312"/>
          <w:color w:val="000000"/>
          <w:sz w:val="32"/>
          <w:szCs w:val="32"/>
        </w:rPr>
        <w:t>风险治理应与设备管理相结合。应加强设备全寿命周期管理，分析设备的运行状况、健康水平，强化设备运行维护，开展隐患排查治理，落实设备技改措施，提高设备可靠性。</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bookmarkStart w:id="14" w:name="22"/>
      <w:r>
        <w:rPr>
          <w:rFonts w:hint="eastAsia" w:ascii="黑体" w:eastAsia="黑体"/>
          <w:color w:val="000000"/>
          <w:sz w:val="32"/>
          <w:szCs w:val="32"/>
        </w:rPr>
        <w:t>第二十五条</w:t>
      </w:r>
      <w:bookmarkEnd w:id="14"/>
      <w:r>
        <w:rPr>
          <w:rFonts w:hint="eastAsia"/>
          <w:color w:val="000000"/>
          <w:sz w:val="32"/>
          <w:szCs w:val="32"/>
        </w:rPr>
        <w:t>　</w:t>
      </w:r>
      <w:r>
        <w:rPr>
          <w:rFonts w:hint="eastAsia" w:ascii="仿宋_GB2312" w:hAnsi="仿宋_GB2312" w:eastAsia="仿宋_GB2312" w:cs="仿宋_GB2312"/>
          <w:color w:val="000000"/>
          <w:sz w:val="32"/>
          <w:szCs w:val="32"/>
        </w:rPr>
        <w:t>风险治理应与物资管理相结合。应坚持设备质量源头管控，加强全链条物资采购管理，加强设备监造，强化验收调试，严格入网把关，提升设备整体技术和质量水平。</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黑体" w:eastAsia="黑体"/>
          <w:sz w:val="32"/>
          <w:szCs w:val="32"/>
        </w:rPr>
        <w:t>第二十六条</w:t>
      </w:r>
      <w:r>
        <w:rPr>
          <w:b/>
          <w:bCs/>
          <w:color w:val="FF0000"/>
          <w:sz w:val="32"/>
          <w:szCs w:val="32"/>
        </w:rPr>
        <w:t>　</w:t>
      </w:r>
      <w:r>
        <w:rPr>
          <w:rFonts w:hint="eastAsia" w:ascii="仿宋_GB2312" w:hAnsi="仿宋_GB2312" w:eastAsia="仿宋_GB2312" w:cs="仿宋_GB2312"/>
          <w:color w:val="000000"/>
          <w:sz w:val="32"/>
          <w:szCs w:val="32"/>
        </w:rPr>
        <w:t>风险治理应与灾害防范相结合。应总结灾害发生规律，评估对电网安全运行造成的影响，因地制宜提高设防标准，并在规划设计、建设运行、物资管理等环节加以落实，提高电网防灾减灾能力。</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黑体" w:eastAsia="黑体"/>
          <w:sz w:val="32"/>
          <w:szCs w:val="32"/>
        </w:rPr>
        <w:t>第</w:t>
      </w:r>
      <w:r>
        <w:rPr>
          <w:rFonts w:hint="eastAsia" w:ascii="黑体" w:eastAsia="黑体"/>
          <w:bCs/>
          <w:sz w:val="32"/>
          <w:szCs w:val="32"/>
        </w:rPr>
        <w:t>二十七</w:t>
      </w:r>
      <w:r>
        <w:rPr>
          <w:rFonts w:hint="eastAsia" w:ascii="黑体" w:eastAsia="黑体"/>
          <w:sz w:val="32"/>
          <w:szCs w:val="32"/>
        </w:rPr>
        <w:t>条</w:t>
      </w:r>
      <w:r>
        <w:rPr>
          <w:b/>
          <w:bCs/>
          <w:color w:val="FF0000"/>
          <w:sz w:val="32"/>
          <w:szCs w:val="32"/>
        </w:rPr>
        <w:t>　</w:t>
      </w:r>
      <w:r>
        <w:rPr>
          <w:rFonts w:hint="eastAsia" w:ascii="仿宋_GB2312" w:hAnsi="仿宋_GB2312" w:eastAsia="仿宋_GB2312" w:cs="仿宋_GB2312"/>
          <w:color w:val="000000"/>
          <w:sz w:val="32"/>
          <w:szCs w:val="32"/>
        </w:rPr>
        <w:t>风险治理应与应急管理相结合。应完善应急预案体系，建立健全应急联动机制，加强应急演练，形成多元化应急物资储备方式，控制和减少事故造成的损失。</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黑体" w:eastAsia="黑体"/>
          <w:bCs/>
          <w:sz w:val="32"/>
          <w:szCs w:val="32"/>
        </w:rPr>
        <w:t>第</w:t>
      </w:r>
      <w:r>
        <w:rPr>
          <w:rFonts w:hint="eastAsia" w:ascii="黑体" w:eastAsia="黑体"/>
          <w:color w:val="000000"/>
          <w:sz w:val="32"/>
          <w:szCs w:val="32"/>
        </w:rPr>
        <w:t>二十八</w:t>
      </w:r>
      <w:r>
        <w:rPr>
          <w:rFonts w:hint="eastAsia" w:ascii="黑体" w:eastAsia="黑体"/>
          <w:bCs/>
          <w:sz w:val="32"/>
          <w:szCs w:val="32"/>
        </w:rPr>
        <w:t>条</w:t>
      </w:r>
      <w:r>
        <w:rPr>
          <w:b/>
          <w:sz w:val="32"/>
          <w:szCs w:val="32"/>
        </w:rPr>
        <w:t>　</w:t>
      </w:r>
      <w:r>
        <w:rPr>
          <w:rFonts w:hint="eastAsia" w:ascii="仿宋_GB2312" w:hAnsi="仿宋_GB2312" w:eastAsia="仿宋_GB2312" w:cs="仿宋_GB2312"/>
          <w:color w:val="000000"/>
          <w:sz w:val="32"/>
          <w:szCs w:val="32"/>
        </w:rPr>
        <w:t>电网企业及其电力调度机构、发电企业、电力用户和其他并网主体的业主单位应统筹推动风险治理工作，定期开展检查和评估，必要时将重点难点问题向国家能源局及其派出机构、地方电力管理部门报告。</w:t>
      </w:r>
    </w:p>
    <w:p>
      <w:pPr>
        <w:pStyle w:val="18"/>
        <w:snapToGrid w:val="0"/>
        <w:spacing w:line="580" w:lineRule="exact"/>
        <w:outlineLvl w:val="0"/>
        <w:rPr>
          <w:sz w:val="32"/>
          <w:szCs w:val="32"/>
        </w:rPr>
      </w:pPr>
      <w:r>
        <w:rPr>
          <w:sz w:val="32"/>
          <w:szCs w:val="32"/>
        </w:rPr>
        <w:t>第七章　工作实施和监督管理</w:t>
      </w:r>
      <w:bookmarkStart w:id="15" w:name="25"/>
    </w:p>
    <w:p>
      <w:pPr>
        <w:numPr>
          <w:ilvl w:val="255"/>
          <w:numId w:val="0"/>
        </w:num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黑体" w:eastAsia="黑体"/>
          <w:color w:val="000000"/>
          <w:sz w:val="32"/>
          <w:szCs w:val="32"/>
        </w:rPr>
        <w:t>第二十九条</w:t>
      </w:r>
      <w:bookmarkEnd w:id="15"/>
      <w:r>
        <w:rPr>
          <w:color w:val="000000"/>
          <w:sz w:val="32"/>
          <w:szCs w:val="32"/>
        </w:rPr>
        <w:t>　</w:t>
      </w:r>
      <w:r>
        <w:rPr>
          <w:rFonts w:hint="eastAsia" w:ascii="仿宋_GB2312" w:hAnsi="仿宋_GB2312" w:eastAsia="仿宋_GB2312" w:cs="仿宋_GB2312"/>
          <w:color w:val="000000"/>
          <w:sz w:val="32"/>
          <w:szCs w:val="32"/>
        </w:rPr>
        <w:t>电网企业及其电力调度机构、发电企业、电力用户和其他并网主体的业主单位应常态化开展电网安全风险管控工作。</w:t>
      </w:r>
    </w:p>
    <w:p>
      <w:pPr>
        <w:keepNext w:val="0"/>
        <w:keepLines w:val="0"/>
        <w:pageBreakBefore w:val="0"/>
        <w:widowControl w:val="0"/>
        <w:numPr>
          <w:ilvl w:val="255"/>
          <w:numId w:val="0"/>
        </w:numPr>
        <w:kinsoku/>
        <w:wordWrap/>
        <w:overflowPunct/>
        <w:topLinePunct/>
        <w:autoSpaceDE/>
        <w:autoSpaceDN/>
        <w:bidi w:val="0"/>
        <w:adjustRightInd w:val="0"/>
        <w:snapToGrid w:val="0"/>
        <w:spacing w:line="58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电网企业及其电力调度机构按年度开展风险分析，全面总结本单位电网安全风险管控工作开展情况，深入分析所辖电网存在的安全风险，提出有针对性的风险管控措施和建议。年度风险分析工作应与年度运行方式分析工作相衔接，年度风险分析的主要结论应纳入年度运行方式分析报告。</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电网企业及其电力调度机构应建立逐级报备审查运行方式分析报告机制。各省级以上电网企业及其电力调度机构应于2月28日前，将本单位年度运行方式分析报告报担负相应监督管理职责的国家能源局及其派出机构、地方电力管理部门。</w:t>
      </w:r>
    </w:p>
    <w:p>
      <w:pPr>
        <w:topLinePunct/>
        <w:adjustRightInd w:val="0"/>
        <w:snapToGrid w:val="0"/>
        <w:spacing w:line="580" w:lineRule="exact"/>
        <w:ind w:firstLine="640" w:firstLineChars="200"/>
        <w:rPr>
          <w:rFonts w:ascii="仿宋_GB2312" w:hAnsi="仿宋_GB2312" w:eastAsia="仿宋_GB2312" w:cs="仿宋_GB2312"/>
          <w:color w:val="000000"/>
          <w:sz w:val="32"/>
        </w:rPr>
      </w:pPr>
      <w:r>
        <w:rPr>
          <w:rFonts w:hint="eastAsia" w:ascii="仿宋_GB2312" w:hAnsi="仿宋_GB2312" w:eastAsia="仿宋_GB2312" w:cs="仿宋_GB2312"/>
          <w:color w:val="000000"/>
          <w:sz w:val="32"/>
          <w:szCs w:val="32"/>
        </w:rPr>
        <w:t>国家能源局各区域派出机构应汇总形成本区域年度运行方式分析报告，于</w:t>
      </w:r>
      <w:r>
        <w:rPr>
          <w:rFonts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rPr>
        <w:t>月</w:t>
      </w:r>
      <w:r>
        <w:rPr>
          <w:rFonts w:ascii="仿宋_GB2312" w:hAnsi="仿宋_GB2312" w:eastAsia="仿宋_GB2312" w:cs="仿宋_GB2312"/>
          <w:color w:val="000000"/>
          <w:sz w:val="32"/>
          <w:szCs w:val="32"/>
        </w:rPr>
        <w:t>20</w:t>
      </w:r>
      <w:r>
        <w:rPr>
          <w:rFonts w:hint="eastAsia" w:ascii="仿宋_GB2312" w:hAnsi="仿宋_GB2312" w:eastAsia="仿宋_GB2312" w:cs="仿宋_GB2312"/>
          <w:color w:val="000000"/>
          <w:sz w:val="32"/>
          <w:szCs w:val="32"/>
        </w:rPr>
        <w:t>日前上报国家能源局。</w:t>
      </w:r>
    </w:p>
    <w:p>
      <w:pPr>
        <w:pStyle w:val="2"/>
        <w:adjustRightInd w:val="0"/>
        <w:snapToGrid w:val="0"/>
        <w:spacing w:before="0" w:after="0" w:line="580" w:lineRule="exact"/>
        <w:ind w:firstLine="640" w:firstLineChars="200"/>
        <w:jc w:val="both"/>
        <w:outlineLvl w:val="9"/>
        <w:rPr>
          <w:rFonts w:ascii="仿宋_GB2312" w:hAnsi="仿宋_GB2312" w:eastAsia="仿宋_GB2312" w:cs="仿宋_GB2312"/>
          <w:b w:val="0"/>
          <w:bCs w:val="0"/>
          <w:color w:val="000000"/>
          <w:kern w:val="2"/>
          <w:sz w:val="32"/>
          <w:lang w:val="en-US" w:eastAsia="zh-CN" w:bidi="ar-SA"/>
        </w:rPr>
      </w:pPr>
      <w:r>
        <w:rPr>
          <w:rFonts w:hint="eastAsia" w:ascii="黑体" w:eastAsia="黑体"/>
          <w:b w:val="0"/>
          <w:bCs w:val="0"/>
          <w:color w:val="000000"/>
          <w:sz w:val="32"/>
          <w:lang w:eastAsia="zh-CN"/>
        </w:rPr>
        <w:t>第三十条　</w:t>
      </w:r>
      <w:r>
        <w:rPr>
          <w:rFonts w:hint="eastAsia" w:ascii="仿宋_GB2312" w:hAnsi="仿宋_GB2312" w:eastAsia="仿宋_GB2312" w:cs="仿宋_GB2312"/>
          <w:b w:val="0"/>
          <w:bCs w:val="0"/>
          <w:color w:val="000000"/>
          <w:kern w:val="2"/>
          <w:sz w:val="32"/>
          <w:lang w:val="en-US" w:eastAsia="zh-CN" w:bidi="ar-SA"/>
        </w:rPr>
        <w:t>国家能源局及其区域派出机构应建立年度运行方式分析会议制度，原则上</w:t>
      </w:r>
      <w:r>
        <w:rPr>
          <w:rFonts w:ascii="仿宋_GB2312" w:hAnsi="仿宋_GB2312" w:eastAsia="仿宋_GB2312" w:cs="仿宋_GB2312"/>
          <w:b w:val="0"/>
          <w:bCs w:val="0"/>
          <w:color w:val="000000"/>
          <w:kern w:val="2"/>
          <w:sz w:val="32"/>
          <w:lang w:val="en-US" w:eastAsia="zh-CN" w:bidi="ar-SA"/>
        </w:rPr>
        <w:t>3</w:t>
      </w:r>
      <w:r>
        <w:rPr>
          <w:rFonts w:hint="eastAsia" w:ascii="仿宋_GB2312" w:hAnsi="仿宋_GB2312" w:eastAsia="仿宋_GB2312" w:cs="仿宋_GB2312"/>
          <w:b w:val="0"/>
          <w:bCs w:val="0"/>
          <w:color w:val="000000"/>
          <w:kern w:val="2"/>
          <w:sz w:val="32"/>
          <w:lang w:val="en-US" w:eastAsia="zh-CN" w:bidi="ar-SA"/>
        </w:rPr>
        <w:t>月31日前</w:t>
      </w:r>
      <w:r>
        <w:rPr>
          <w:rFonts w:hint="eastAsia" w:ascii="仿宋_GB2312" w:hAnsi="仿宋_GB2312" w:eastAsia="仿宋_GB2312" w:cs="仿宋_GB2312"/>
          <w:b w:val="0"/>
          <w:bCs w:val="0"/>
          <w:color w:val="000000" w:themeColor="text1"/>
          <w:kern w:val="2"/>
          <w:sz w:val="32"/>
          <w:lang w:val="en-US" w:eastAsia="zh-CN" w:bidi="ar-SA"/>
          <w14:textFill>
            <w14:solidFill>
              <w14:schemeClr w14:val="tx1"/>
            </w14:solidFill>
          </w14:textFill>
        </w:rPr>
        <w:t>会同地方电力管理部门组织电网企业及其电力调度机构、发电企业、相关电力用户和其他并网主体的业主单位召开运行方式分析会议，通报运行方式分析结论，加强厂网协同，部署年度安全风险管控工作。</w:t>
      </w:r>
    </w:p>
    <w:p>
      <w:pPr>
        <w:pStyle w:val="2"/>
        <w:adjustRightInd w:val="0"/>
        <w:snapToGrid w:val="0"/>
        <w:spacing w:before="0" w:after="0" w:line="580" w:lineRule="exact"/>
        <w:ind w:firstLine="640" w:firstLineChars="200"/>
        <w:jc w:val="both"/>
        <w:outlineLvl w:val="9"/>
        <w:rPr>
          <w:rFonts w:ascii="仿宋_GB2312" w:hAnsi="仿宋_GB2312" w:eastAsia="仿宋_GB2312" w:cs="仿宋_GB2312"/>
          <w:b w:val="0"/>
          <w:bCs w:val="0"/>
          <w:color w:val="000000"/>
          <w:kern w:val="2"/>
          <w:sz w:val="32"/>
          <w:lang w:val="en-US" w:eastAsia="zh-CN" w:bidi="ar-SA"/>
        </w:rPr>
      </w:pPr>
      <w:r>
        <w:rPr>
          <w:rFonts w:hint="eastAsia" w:ascii="仿宋_GB2312" w:hAnsi="仿宋_GB2312" w:eastAsia="仿宋_GB2312" w:cs="仿宋_GB2312"/>
          <w:b w:val="0"/>
          <w:bCs w:val="0"/>
          <w:color w:val="000000"/>
          <w:kern w:val="2"/>
          <w:sz w:val="32"/>
          <w:lang w:val="en-US" w:eastAsia="zh-CN" w:bidi="ar-SA"/>
        </w:rPr>
        <w:t>国家能源局区域派出机构应会同</w:t>
      </w:r>
      <w:r>
        <w:rPr>
          <w:rFonts w:hint="eastAsia" w:ascii="仿宋_GB2312" w:hAnsi="仿宋_GB2312" w:eastAsia="仿宋_GB2312" w:cs="仿宋_GB2312"/>
          <w:b w:val="0"/>
          <w:bCs w:val="0"/>
          <w:color w:val="000000" w:themeColor="text1"/>
          <w:kern w:val="2"/>
          <w:sz w:val="32"/>
          <w:lang w:val="en-US" w:eastAsia="zh-CN" w:bidi="ar-SA"/>
          <w14:textFill>
            <w14:solidFill>
              <w14:schemeClr w14:val="tx1"/>
            </w14:solidFill>
          </w14:textFill>
        </w:rPr>
        <w:t>区域内各派出机构、地方电力管理部门共同召开区域运行方式分析会议。</w:t>
      </w:r>
    </w:p>
    <w:p>
      <w:pPr>
        <w:topLinePunct/>
        <w:adjustRightInd w:val="0"/>
        <w:snapToGrid w:val="0"/>
        <w:spacing w:line="580" w:lineRule="exact"/>
        <w:ind w:firstLine="640" w:firstLineChars="200"/>
        <w:rPr>
          <w:rFonts w:ascii="仿宋_GB2312" w:hAnsi="仿宋_GB2312" w:eastAsia="仿宋_GB2312" w:cs="仿宋_GB2312"/>
          <w:sz w:val="32"/>
          <w:szCs w:val="32"/>
          <w:highlight w:val="yellow"/>
        </w:rPr>
      </w:pPr>
      <w:bookmarkStart w:id="16" w:name="26"/>
      <w:r>
        <w:rPr>
          <w:rFonts w:hint="eastAsia" w:ascii="黑体" w:eastAsia="黑体"/>
          <w:color w:val="000000"/>
          <w:sz w:val="32"/>
          <w:szCs w:val="32"/>
        </w:rPr>
        <w:t>第三十一条</w:t>
      </w:r>
      <w:bookmarkEnd w:id="16"/>
      <w:r>
        <w:rPr>
          <w:color w:val="000000"/>
          <w:sz w:val="32"/>
          <w:szCs w:val="32"/>
        </w:rPr>
        <w:t>　</w:t>
      </w:r>
      <w:r>
        <w:rPr>
          <w:rFonts w:hint="eastAsia" w:ascii="仿宋_GB2312" w:hAnsi="仿宋_GB2312" w:eastAsia="仿宋_GB2312" w:cs="仿宋_GB2312"/>
          <w:color w:val="000000"/>
          <w:sz w:val="32"/>
          <w:szCs w:val="32"/>
        </w:rPr>
        <w:t>电网企业及其电力调度机构要做好</w:t>
      </w:r>
      <w:r>
        <w:rPr>
          <w:rFonts w:hint="eastAsia" w:ascii="仿宋_GB2312" w:hAnsi="仿宋_GB2312" w:eastAsia="仿宋_GB2312" w:cs="仿宋_GB2312"/>
          <w:sz w:val="32"/>
          <w:szCs w:val="32"/>
        </w:rPr>
        <w:t>重点时段安全风险管控工作，</w:t>
      </w:r>
      <w:r>
        <w:rPr>
          <w:rFonts w:hint="eastAsia" w:ascii="仿宋_GB2312" w:hAnsi="仿宋_GB2312" w:eastAsia="仿宋_GB2312" w:cs="仿宋_GB2312"/>
          <w:color w:val="000000"/>
          <w:sz w:val="32"/>
          <w:szCs w:val="32"/>
        </w:rPr>
        <w:t>组织开展</w:t>
      </w:r>
      <w:r>
        <w:rPr>
          <w:rFonts w:hint="eastAsia" w:ascii="仿宋_GB2312" w:hAnsi="仿宋_GB2312" w:eastAsia="仿宋_GB2312" w:cs="仿宋_GB2312"/>
          <w:sz w:val="32"/>
          <w:szCs w:val="32"/>
        </w:rPr>
        <w:t>迎峰度夏、迎峰度冬专项安全风险分析，形成专项风险管控报告。报告应深入分析迎峰度夏（冬）电力供需总体特点、对迎峰度夏（冬）风险管控工作作出安排，明确主要风险及管控措施等。</w:t>
      </w:r>
    </w:p>
    <w:p>
      <w:pPr>
        <w:topLinePunct/>
        <w:adjustRightInd w:val="0"/>
        <w:snapToGrid w:val="0"/>
        <w:spacing w:line="58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color w:val="000000"/>
          <w:sz w:val="32"/>
          <w:szCs w:val="32"/>
        </w:rPr>
        <w:t>各省级以上电网企业及其电力调度机构</w:t>
      </w:r>
      <w:r>
        <w:rPr>
          <w:rFonts w:hint="eastAsia" w:ascii="仿宋_GB2312" w:hAnsi="仿宋_GB2312" w:eastAsia="仿宋_GB2312" w:cs="仿宋_GB2312"/>
          <w:sz w:val="32"/>
          <w:szCs w:val="32"/>
        </w:rPr>
        <w:t>应分别于5月31日和11月30日前，将迎峰度夏、迎峰度冬</w:t>
      </w:r>
      <w:r>
        <w:rPr>
          <w:rFonts w:hint="eastAsia" w:ascii="仿宋_GB2312" w:hAnsi="仿宋_GB2312" w:eastAsia="仿宋_GB2312" w:cs="仿宋_GB2312"/>
          <w:sz w:val="32"/>
          <w:szCs w:val="32"/>
          <w:lang w:val="en-US" w:eastAsia="zh-CN"/>
        </w:rPr>
        <w:t>安全风险分析</w:t>
      </w:r>
      <w:r>
        <w:rPr>
          <w:rFonts w:hint="eastAsia" w:ascii="仿宋_GB2312" w:hAnsi="仿宋_GB2312" w:eastAsia="仿宋_GB2312" w:cs="仿宋_GB2312"/>
          <w:sz w:val="32"/>
          <w:szCs w:val="32"/>
        </w:rPr>
        <w:t>报告报国家能源局或相关派出机构</w:t>
      </w:r>
      <w:r>
        <w:rPr>
          <w:rFonts w:hint="eastAsia" w:ascii="仿宋_GB2312" w:hAnsi="仿宋_GB2312" w:eastAsia="仿宋_GB2312" w:cs="仿宋_GB2312"/>
          <w:b w:val="0"/>
          <w:bCs w:val="0"/>
          <w:color w:val="000000" w:themeColor="text1"/>
          <w:sz w:val="32"/>
          <w:szCs w:val="32"/>
          <w14:textFill>
            <w14:solidFill>
              <w14:schemeClr w14:val="tx1"/>
            </w14:solidFill>
          </w14:textFill>
        </w:rPr>
        <w:t>、地方电力管理部门</w:t>
      </w:r>
      <w:r>
        <w:rPr>
          <w:rFonts w:hint="eastAsia" w:ascii="仿宋_GB2312" w:hAnsi="仿宋_GB2312" w:eastAsia="仿宋_GB2312" w:cs="仿宋_GB2312"/>
          <w:sz w:val="32"/>
          <w:szCs w:val="32"/>
        </w:rPr>
        <w:t>。</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bookmarkStart w:id="17" w:name="27"/>
      <w:r>
        <w:rPr>
          <w:rFonts w:hint="eastAsia" w:ascii="黑体" w:eastAsia="黑体"/>
          <w:color w:val="000000"/>
          <w:sz w:val="32"/>
          <w:szCs w:val="32"/>
        </w:rPr>
        <w:t>第三十二条</w:t>
      </w:r>
      <w:r>
        <w:rPr>
          <w:color w:val="000000"/>
          <w:sz w:val="32"/>
          <w:szCs w:val="32"/>
        </w:rPr>
        <w:t>　</w:t>
      </w:r>
      <w:r>
        <w:rPr>
          <w:rFonts w:hint="eastAsia" w:ascii="仿宋_GB2312" w:hAnsi="仿宋_GB2312" w:eastAsia="仿宋_GB2312" w:cs="仿宋_GB2312"/>
          <w:color w:val="000000"/>
          <w:sz w:val="32"/>
          <w:szCs w:val="32"/>
        </w:rPr>
        <w:t>对于四级以上的电网安全风险，电网企业及其电力调度机构要及时将风险控制方案和实施效果评估报告报担负相应风险监督指导职责的国家能源局及其派出机构</w:t>
      </w:r>
      <w:r>
        <w:rPr>
          <w:rFonts w:hint="eastAsia" w:ascii="仿宋_GB2312" w:hAnsi="仿宋_GB2312" w:eastAsia="仿宋_GB2312" w:cs="仿宋_GB2312"/>
          <w:b w:val="0"/>
          <w:bCs w:val="0"/>
          <w:color w:val="auto"/>
          <w:sz w:val="32"/>
          <w:szCs w:val="32"/>
        </w:rPr>
        <w:t>、地方电力管理部门。对于发电企业、电力用户和其他并网主体的业主单位等风险相关方未落实风险控制方案的，</w:t>
      </w:r>
      <w:r>
        <w:rPr>
          <w:rFonts w:hint="eastAsia" w:ascii="仿宋_GB2312" w:hAnsi="仿宋_GB2312" w:eastAsia="仿宋_GB2312" w:cs="仿宋_GB2312"/>
          <w:color w:val="000000"/>
          <w:sz w:val="32"/>
          <w:szCs w:val="32"/>
        </w:rPr>
        <w:t>电网企业及其电力调度机构要及时报告国家能源局当地派出机构、地方电力管理部门。</w:t>
      </w:r>
    </w:p>
    <w:bookmarkEnd w:id="17"/>
    <w:p>
      <w:pPr>
        <w:topLinePunct/>
        <w:adjustRightInd w:val="0"/>
        <w:snapToGrid w:val="0"/>
        <w:spacing w:line="580" w:lineRule="exact"/>
        <w:ind w:firstLine="640" w:firstLineChars="200"/>
        <w:rPr>
          <w:rFonts w:ascii="仿宋_GB2312" w:hAnsi="仿宋_GB2312" w:eastAsia="仿宋_GB2312" w:cs="仿宋_GB2312"/>
          <w:b w:val="0"/>
          <w:bCs w:val="0"/>
          <w:color w:val="auto"/>
          <w:sz w:val="32"/>
          <w:szCs w:val="32"/>
        </w:rPr>
      </w:pPr>
      <w:r>
        <w:rPr>
          <w:rFonts w:hint="eastAsia" w:ascii="黑体" w:eastAsia="黑体"/>
          <w:color w:val="000000"/>
          <w:sz w:val="32"/>
          <w:szCs w:val="32"/>
        </w:rPr>
        <w:t>第三十三条　</w:t>
      </w:r>
      <w:r>
        <w:rPr>
          <w:rFonts w:hint="eastAsia" w:ascii="仿宋_GB2312" w:hAnsi="仿宋_GB2312" w:eastAsia="仿宋_GB2312" w:cs="仿宋_GB2312"/>
          <w:color w:val="000000"/>
          <w:sz w:val="32"/>
          <w:szCs w:val="32"/>
        </w:rPr>
        <w:t>国家能源局及其派出机构、地方电力管理部门应跟踪企业上报的电网安全风险管控情况，不定期开展电网安全风险管控落实情况的监督检查或重点抽查</w:t>
      </w:r>
      <w:r>
        <w:rPr>
          <w:rFonts w:hint="eastAsia" w:ascii="仿宋_GB2312" w:hAnsi="仿宋_GB2312" w:eastAsia="仿宋_GB2312" w:cs="仿宋_GB2312"/>
          <w:b w:val="0"/>
          <w:bCs w:val="0"/>
          <w:color w:val="auto"/>
          <w:sz w:val="32"/>
          <w:szCs w:val="32"/>
        </w:rPr>
        <w:t>，协调、指导相关方解决电网安全风险管控中的重点难点问题。</w:t>
      </w:r>
    </w:p>
    <w:p>
      <w:pPr>
        <w:topLinePunct/>
        <w:adjustRightInd w:val="0"/>
        <w:snapToGrid w:val="0"/>
        <w:spacing w:line="580" w:lineRule="exact"/>
        <w:ind w:firstLine="640" w:firstLineChars="200"/>
        <w:rPr>
          <w:rFonts w:ascii="仿宋_GB2312" w:hAnsi="仿宋_GB2312" w:eastAsia="仿宋_GB2312" w:cs="仿宋_GB2312"/>
          <w:color w:val="000000"/>
          <w:sz w:val="32"/>
          <w:szCs w:val="32"/>
        </w:rPr>
      </w:pPr>
      <w:r>
        <w:rPr>
          <w:rFonts w:hint="eastAsia" w:ascii="黑体" w:eastAsia="黑体"/>
          <w:color w:val="000000"/>
          <w:sz w:val="32"/>
          <w:szCs w:val="32"/>
        </w:rPr>
        <w:t>第三十四条</w:t>
      </w:r>
      <w:r>
        <w:rPr>
          <w:color w:val="000000"/>
          <w:sz w:val="32"/>
          <w:szCs w:val="32"/>
        </w:rPr>
        <w:t>　</w:t>
      </w:r>
      <w:r>
        <w:rPr>
          <w:rFonts w:hint="eastAsia" w:ascii="仿宋_GB2312" w:hAnsi="仿宋_GB2312" w:eastAsia="仿宋_GB2312" w:cs="仿宋_GB2312"/>
          <w:color w:val="000000"/>
          <w:sz w:val="32"/>
          <w:szCs w:val="32"/>
        </w:rPr>
        <w:t>对于未按要求报告或未及时采取管控措施而导致电力安全事故或事件的，国家能源局及其派出机构将依据有关法律法规对责任单位和责任人从严处理。</w:t>
      </w:r>
    </w:p>
    <w:p>
      <w:pPr>
        <w:pStyle w:val="18"/>
        <w:snapToGrid w:val="0"/>
        <w:spacing w:line="580" w:lineRule="exact"/>
        <w:outlineLvl w:val="0"/>
        <w:rPr>
          <w:sz w:val="32"/>
          <w:szCs w:val="32"/>
        </w:rPr>
      </w:pPr>
      <w:r>
        <w:rPr>
          <w:sz w:val="32"/>
          <w:szCs w:val="32"/>
        </w:rPr>
        <w:t>第八章　附</w:t>
      </w:r>
      <w:r>
        <w:rPr>
          <w:rFonts w:hint="eastAsia"/>
          <w:sz w:val="32"/>
          <w:szCs w:val="32"/>
        </w:rPr>
        <w:t>　　　</w:t>
      </w:r>
      <w:r>
        <w:rPr>
          <w:sz w:val="32"/>
          <w:szCs w:val="32"/>
        </w:rPr>
        <w:t>则</w:t>
      </w:r>
    </w:p>
    <w:p>
      <w:pPr>
        <w:adjustRightInd w:val="0"/>
        <w:snapToGrid w:val="0"/>
        <w:spacing w:line="580" w:lineRule="exact"/>
        <w:ind w:firstLine="640" w:firstLineChars="200"/>
        <w:rPr>
          <w:rFonts w:ascii="仿宋_GB2312" w:hAnsi="仿宋_GB2312" w:eastAsia="仿宋_GB2312" w:cs="仿宋_GB2312"/>
          <w:color w:val="000000"/>
          <w:sz w:val="32"/>
          <w:szCs w:val="32"/>
        </w:rPr>
      </w:pPr>
      <w:bookmarkStart w:id="18" w:name="_Hlk172638136"/>
      <w:r>
        <w:rPr>
          <w:rFonts w:hint="eastAsia" w:ascii="黑体" w:eastAsia="黑体"/>
          <w:color w:val="000000"/>
          <w:sz w:val="32"/>
          <w:szCs w:val="32"/>
        </w:rPr>
        <w:t>第三十五条</w:t>
      </w:r>
      <w:bookmarkEnd w:id="18"/>
      <w:r>
        <w:rPr>
          <w:color w:val="000000"/>
          <w:sz w:val="32"/>
          <w:szCs w:val="32"/>
        </w:rPr>
        <w:t>　</w:t>
      </w:r>
      <w:r>
        <w:rPr>
          <w:rFonts w:hint="eastAsia" w:ascii="仿宋_GB2312" w:hAnsi="仿宋_GB2312" w:eastAsia="仿宋_GB2312" w:cs="仿宋_GB2312"/>
          <w:color w:val="000000"/>
          <w:sz w:val="32"/>
          <w:szCs w:val="32"/>
        </w:rPr>
        <w:t>本办法所指的其他并网主体主要包括：分布式新能源、新型储能、虚拟电厂等。</w:t>
      </w:r>
    </w:p>
    <w:p>
      <w:pPr>
        <w:pStyle w:val="3"/>
        <w:adjustRightInd w:val="0"/>
        <w:snapToGrid w:val="0"/>
        <w:spacing w:before="0" w:after="0" w:line="580" w:lineRule="exact"/>
        <w:ind w:firstLine="640" w:firstLineChars="200"/>
        <w:jc w:val="both"/>
        <w:rPr>
          <w:rFonts w:ascii="黑体" w:hAnsi="Times New Roman" w:eastAsia="黑体"/>
          <w:b w:val="0"/>
          <w:bCs w:val="0"/>
          <w:color w:val="auto"/>
        </w:rPr>
      </w:pPr>
      <w:r>
        <w:rPr>
          <w:rFonts w:hint="eastAsia" w:ascii="黑体" w:hAnsi="Times New Roman" w:eastAsia="黑体"/>
          <w:b w:val="0"/>
          <w:bCs w:val="0"/>
          <w:color w:val="auto"/>
        </w:rPr>
        <w:t>第三十</w:t>
      </w:r>
      <w:r>
        <w:rPr>
          <w:rFonts w:hint="eastAsia" w:ascii="黑体" w:hAnsi="Times New Roman" w:eastAsia="黑体"/>
          <w:b w:val="0"/>
          <w:bCs w:val="0"/>
          <w:color w:val="auto"/>
          <w:lang w:eastAsia="zh-CN"/>
        </w:rPr>
        <w:t>六</w:t>
      </w:r>
      <w:r>
        <w:rPr>
          <w:rFonts w:hint="eastAsia" w:ascii="黑体" w:hAnsi="Times New Roman" w:eastAsia="黑体"/>
          <w:b w:val="0"/>
          <w:bCs w:val="0"/>
          <w:color w:val="auto"/>
        </w:rPr>
        <w:t xml:space="preserve">条 </w:t>
      </w:r>
      <w:r>
        <w:rPr>
          <w:rFonts w:ascii="黑体" w:hAnsi="Times New Roman" w:eastAsia="黑体"/>
          <w:b w:val="0"/>
          <w:bCs w:val="0"/>
          <w:color w:val="auto"/>
        </w:rPr>
        <w:t xml:space="preserve"> </w:t>
      </w:r>
      <w:r>
        <w:rPr>
          <w:rFonts w:hint="eastAsia" w:ascii="仿宋_GB2312" w:hAnsi="仿宋_GB2312" w:eastAsia="仿宋_GB2312" w:cs="仿宋_GB2312"/>
          <w:b w:val="0"/>
          <w:bCs w:val="0"/>
          <w:color w:val="auto"/>
        </w:rPr>
        <w:t>本办法所称“以上”均包括本数。</w:t>
      </w:r>
    </w:p>
    <w:p>
      <w:pPr>
        <w:pStyle w:val="3"/>
        <w:adjustRightInd w:val="0"/>
        <w:snapToGrid w:val="0"/>
        <w:spacing w:before="0" w:after="0" w:line="580" w:lineRule="exact"/>
        <w:ind w:firstLine="640" w:firstLineChars="200"/>
        <w:jc w:val="both"/>
        <w:rPr>
          <w:rFonts w:ascii="仿宋_GB2312" w:hAnsi="仿宋_GB2312" w:eastAsia="仿宋_GB2312" w:cs="仿宋_GB2312"/>
          <w:b w:val="0"/>
          <w:bCs w:val="0"/>
          <w:color w:val="auto"/>
        </w:rPr>
      </w:pPr>
      <w:r>
        <w:rPr>
          <w:rFonts w:hint="eastAsia" w:ascii="黑体" w:eastAsia="黑体"/>
          <w:b w:val="0"/>
          <w:bCs w:val="0"/>
          <w:color w:val="auto"/>
        </w:rPr>
        <w:t>第三十</w:t>
      </w:r>
      <w:r>
        <w:rPr>
          <w:rFonts w:hint="eastAsia" w:ascii="黑体" w:hAnsi="Times New Roman" w:eastAsia="黑体"/>
          <w:b w:val="0"/>
          <w:bCs w:val="0"/>
          <w:color w:val="auto"/>
        </w:rPr>
        <w:t>七</w:t>
      </w:r>
      <w:r>
        <w:rPr>
          <w:rFonts w:hint="eastAsia" w:ascii="黑体" w:eastAsia="黑体"/>
          <w:b w:val="0"/>
          <w:bCs w:val="0"/>
          <w:color w:val="auto"/>
        </w:rPr>
        <w:t>条</w:t>
      </w:r>
      <w:r>
        <w:rPr>
          <w:color w:val="auto"/>
        </w:rPr>
        <w:t>　</w:t>
      </w:r>
      <w:r>
        <w:rPr>
          <w:rFonts w:hint="eastAsia" w:ascii="仿宋_GB2312" w:hAnsi="仿宋_GB2312" w:eastAsia="仿宋_GB2312" w:cs="仿宋_GB2312"/>
          <w:b w:val="0"/>
          <w:bCs w:val="0"/>
          <w:color w:val="auto"/>
        </w:rPr>
        <w:t>本办法自公布之日起施行，原《电网安全风险管控办法（试行）》（国能安全〔2014〕123号）同时废止。</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panose1 w:val="00000600000000000000"/>
    <w:charset w:val="86"/>
    <w:family w:val="script"/>
    <w:pitch w:val="default"/>
    <w:sig w:usb0="800002BF" w:usb1="184F6CF8" w:usb2="00000012" w:usb3="00000000" w:csb0="00160001" w:csb1="1203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both"/>
                            <w:rPr>
                              <w:rFonts w:ascii="方正仿宋_GBK" w:hAnsi="方正仿宋_GBK" w:eastAsia="方正仿宋_GBK" w:cs="方正仿宋_GBK"/>
                              <w:sz w:val="28"/>
                              <w:szCs w:val="28"/>
                            </w:rPr>
                          </w:pPr>
                          <w:r>
                            <w:rPr>
                              <w:rFonts w:ascii="宋体" w:hAnsi="宋体"/>
                              <w:sz w:val="28"/>
                            </w:rPr>
                            <w:t xml:space="preserve">— </w:t>
                          </w:r>
                          <w:r>
                            <w:rPr>
                              <w:rFonts w:ascii="宋体" w:hAnsi="宋体"/>
                              <w:sz w:val="28"/>
                            </w:rPr>
                            <w:fldChar w:fldCharType="begin"/>
                          </w:r>
                          <w:r>
                            <w:rPr>
                              <w:rFonts w:ascii="宋体" w:hAnsi="宋体"/>
                              <w:sz w:val="28"/>
                            </w:rPr>
                            <w:instrText xml:space="preserve"> PAGE \* Arabic \* MERGEFORMAT </w:instrText>
                          </w:r>
                          <w:r>
                            <w:rPr>
                              <w:rFonts w:ascii="宋体" w:hAnsi="宋体"/>
                              <w:sz w:val="28"/>
                            </w:rPr>
                            <w:fldChar w:fldCharType="separate"/>
                          </w:r>
                          <w:r>
                            <w:rPr>
                              <w:rFonts w:ascii="宋体" w:hAnsi="宋体"/>
                              <w:sz w:val="28"/>
                            </w:rPr>
                            <w:t>14</w:t>
                          </w:r>
                          <w:r>
                            <w:rPr>
                              <w:rFonts w:ascii="宋体" w:hAnsi="宋体"/>
                              <w:sz w:val="28"/>
                            </w:rPr>
                            <w:fldChar w:fldCharType="end"/>
                          </w:r>
                          <w:r>
                            <w:rPr>
                              <w:rFonts w:ascii="宋体" w:hAnsi="宋体"/>
                              <w:sz w:val="28"/>
                            </w:rPr>
                            <w:t xml:space="preserve"> —</w:t>
                          </w:r>
                        </w:p>
                        <w:p>
                          <w:pPr>
                            <w:pStyle w:val="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6"/>
                      <w:jc w:val="both"/>
                      <w:rPr>
                        <w:rFonts w:ascii="方正仿宋_GBK" w:hAnsi="方正仿宋_GBK" w:eastAsia="方正仿宋_GBK" w:cs="方正仿宋_GBK"/>
                        <w:sz w:val="28"/>
                        <w:szCs w:val="28"/>
                      </w:rPr>
                    </w:pPr>
                    <w:r>
                      <w:rPr>
                        <w:rFonts w:ascii="宋体" w:hAnsi="宋体"/>
                        <w:sz w:val="28"/>
                      </w:rPr>
                      <w:t xml:space="preserve">— </w:t>
                    </w:r>
                    <w:r>
                      <w:rPr>
                        <w:rFonts w:ascii="宋体" w:hAnsi="宋体"/>
                        <w:sz w:val="28"/>
                      </w:rPr>
                      <w:fldChar w:fldCharType="begin"/>
                    </w:r>
                    <w:r>
                      <w:rPr>
                        <w:rFonts w:ascii="宋体" w:hAnsi="宋体"/>
                        <w:sz w:val="28"/>
                      </w:rPr>
                      <w:instrText xml:space="preserve"> PAGE \* Arabic \* MERGEFORMAT </w:instrText>
                    </w:r>
                    <w:r>
                      <w:rPr>
                        <w:rFonts w:ascii="宋体" w:hAnsi="宋体"/>
                        <w:sz w:val="28"/>
                      </w:rPr>
                      <w:fldChar w:fldCharType="separate"/>
                    </w:r>
                    <w:r>
                      <w:rPr>
                        <w:rFonts w:ascii="宋体" w:hAnsi="宋体"/>
                        <w:sz w:val="28"/>
                      </w:rPr>
                      <w:t>14</w:t>
                    </w:r>
                    <w:r>
                      <w:rPr>
                        <w:rFonts w:ascii="宋体" w:hAnsi="宋体"/>
                        <w:sz w:val="28"/>
                      </w:rPr>
                      <w:fldChar w:fldCharType="end"/>
                    </w:r>
                    <w:r>
                      <w:rPr>
                        <w:rFonts w:ascii="宋体" w:hAnsi="宋体"/>
                        <w:sz w:val="28"/>
                      </w:rPr>
                      <w:t xml:space="preserve"> —</w:t>
                    </w:r>
                  </w:p>
                  <w:p>
                    <w:pPr>
                      <w:pStyle w:val="6"/>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3A74"/>
    <w:rsid w:val="00005B5E"/>
    <w:rsid w:val="00006DD6"/>
    <w:rsid w:val="00006E3E"/>
    <w:rsid w:val="000123FD"/>
    <w:rsid w:val="000159CB"/>
    <w:rsid w:val="000170C8"/>
    <w:rsid w:val="000173B6"/>
    <w:rsid w:val="00017C08"/>
    <w:rsid w:val="00023DA8"/>
    <w:rsid w:val="00024812"/>
    <w:rsid w:val="000274A2"/>
    <w:rsid w:val="00030237"/>
    <w:rsid w:val="00032CAC"/>
    <w:rsid w:val="00034AA1"/>
    <w:rsid w:val="00036F39"/>
    <w:rsid w:val="00037B36"/>
    <w:rsid w:val="00037DB6"/>
    <w:rsid w:val="00041BC2"/>
    <w:rsid w:val="000515C2"/>
    <w:rsid w:val="00052708"/>
    <w:rsid w:val="000556B7"/>
    <w:rsid w:val="000579F4"/>
    <w:rsid w:val="00062932"/>
    <w:rsid w:val="00063487"/>
    <w:rsid w:val="000640EF"/>
    <w:rsid w:val="00064AFE"/>
    <w:rsid w:val="000650D0"/>
    <w:rsid w:val="00066C20"/>
    <w:rsid w:val="00070E85"/>
    <w:rsid w:val="000726D5"/>
    <w:rsid w:val="00072DBB"/>
    <w:rsid w:val="000730E2"/>
    <w:rsid w:val="00073BD2"/>
    <w:rsid w:val="000761C8"/>
    <w:rsid w:val="00077D8E"/>
    <w:rsid w:val="000816F9"/>
    <w:rsid w:val="00081D7B"/>
    <w:rsid w:val="00082D28"/>
    <w:rsid w:val="00082E83"/>
    <w:rsid w:val="00085E49"/>
    <w:rsid w:val="00087012"/>
    <w:rsid w:val="00090019"/>
    <w:rsid w:val="00092569"/>
    <w:rsid w:val="000929B8"/>
    <w:rsid w:val="000935EA"/>
    <w:rsid w:val="000941FD"/>
    <w:rsid w:val="00094682"/>
    <w:rsid w:val="000953FD"/>
    <w:rsid w:val="0009589B"/>
    <w:rsid w:val="00095E8F"/>
    <w:rsid w:val="00097726"/>
    <w:rsid w:val="000A00A7"/>
    <w:rsid w:val="000A3836"/>
    <w:rsid w:val="000B06A2"/>
    <w:rsid w:val="000B1AC6"/>
    <w:rsid w:val="000B2A9F"/>
    <w:rsid w:val="000B5D73"/>
    <w:rsid w:val="000C24E9"/>
    <w:rsid w:val="000C3466"/>
    <w:rsid w:val="000C458A"/>
    <w:rsid w:val="000C5FAA"/>
    <w:rsid w:val="000C75DD"/>
    <w:rsid w:val="000D1266"/>
    <w:rsid w:val="000D2413"/>
    <w:rsid w:val="000D6E04"/>
    <w:rsid w:val="000D7094"/>
    <w:rsid w:val="000D78C0"/>
    <w:rsid w:val="000E1CC4"/>
    <w:rsid w:val="000E224D"/>
    <w:rsid w:val="000E5AF6"/>
    <w:rsid w:val="000E6A1F"/>
    <w:rsid w:val="000E6F03"/>
    <w:rsid w:val="000E6FE3"/>
    <w:rsid w:val="000E719F"/>
    <w:rsid w:val="000E7674"/>
    <w:rsid w:val="000F3A1B"/>
    <w:rsid w:val="00103557"/>
    <w:rsid w:val="00104F9A"/>
    <w:rsid w:val="00106D2D"/>
    <w:rsid w:val="001074B4"/>
    <w:rsid w:val="001105BF"/>
    <w:rsid w:val="00116A61"/>
    <w:rsid w:val="001207FB"/>
    <w:rsid w:val="00120867"/>
    <w:rsid w:val="00125051"/>
    <w:rsid w:val="00126624"/>
    <w:rsid w:val="00126EBE"/>
    <w:rsid w:val="00132B2B"/>
    <w:rsid w:val="00133015"/>
    <w:rsid w:val="00133606"/>
    <w:rsid w:val="001343A0"/>
    <w:rsid w:val="00136620"/>
    <w:rsid w:val="00137922"/>
    <w:rsid w:val="00140791"/>
    <w:rsid w:val="00140A33"/>
    <w:rsid w:val="00140EAA"/>
    <w:rsid w:val="00141062"/>
    <w:rsid w:val="001411F4"/>
    <w:rsid w:val="001437AA"/>
    <w:rsid w:val="00147B49"/>
    <w:rsid w:val="001501E9"/>
    <w:rsid w:val="00152455"/>
    <w:rsid w:val="001530D3"/>
    <w:rsid w:val="00154106"/>
    <w:rsid w:val="0015766E"/>
    <w:rsid w:val="00157DAF"/>
    <w:rsid w:val="00160C41"/>
    <w:rsid w:val="00161127"/>
    <w:rsid w:val="0016129B"/>
    <w:rsid w:val="001614EC"/>
    <w:rsid w:val="001655A8"/>
    <w:rsid w:val="00165689"/>
    <w:rsid w:val="00167A4D"/>
    <w:rsid w:val="00167F39"/>
    <w:rsid w:val="0017160F"/>
    <w:rsid w:val="00182D85"/>
    <w:rsid w:val="00184EC1"/>
    <w:rsid w:val="00191DC2"/>
    <w:rsid w:val="00192C58"/>
    <w:rsid w:val="00192EB1"/>
    <w:rsid w:val="001958F5"/>
    <w:rsid w:val="00196A1F"/>
    <w:rsid w:val="001A12A9"/>
    <w:rsid w:val="001A2804"/>
    <w:rsid w:val="001A2DB4"/>
    <w:rsid w:val="001A440A"/>
    <w:rsid w:val="001A558F"/>
    <w:rsid w:val="001A57EB"/>
    <w:rsid w:val="001B32ED"/>
    <w:rsid w:val="001B3387"/>
    <w:rsid w:val="001B6923"/>
    <w:rsid w:val="001C4FBD"/>
    <w:rsid w:val="001C7706"/>
    <w:rsid w:val="001C7A9D"/>
    <w:rsid w:val="001D0715"/>
    <w:rsid w:val="001D61A4"/>
    <w:rsid w:val="001D66A2"/>
    <w:rsid w:val="001D72EE"/>
    <w:rsid w:val="001E4177"/>
    <w:rsid w:val="001F0088"/>
    <w:rsid w:val="001F0E40"/>
    <w:rsid w:val="00200D82"/>
    <w:rsid w:val="002010DD"/>
    <w:rsid w:val="00202ED6"/>
    <w:rsid w:val="00204307"/>
    <w:rsid w:val="00205E7F"/>
    <w:rsid w:val="00210EDE"/>
    <w:rsid w:val="00214201"/>
    <w:rsid w:val="00214F1C"/>
    <w:rsid w:val="002166EB"/>
    <w:rsid w:val="00217E27"/>
    <w:rsid w:val="00221E94"/>
    <w:rsid w:val="002274CD"/>
    <w:rsid w:val="0023027E"/>
    <w:rsid w:val="00237A44"/>
    <w:rsid w:val="00237EC6"/>
    <w:rsid w:val="00240754"/>
    <w:rsid w:val="002417F4"/>
    <w:rsid w:val="002418FB"/>
    <w:rsid w:val="002422D9"/>
    <w:rsid w:val="00242E68"/>
    <w:rsid w:val="002436C1"/>
    <w:rsid w:val="00246838"/>
    <w:rsid w:val="002471E6"/>
    <w:rsid w:val="00247A89"/>
    <w:rsid w:val="002507EE"/>
    <w:rsid w:val="00250DA2"/>
    <w:rsid w:val="00253F79"/>
    <w:rsid w:val="0025518C"/>
    <w:rsid w:val="002603CA"/>
    <w:rsid w:val="00261FFB"/>
    <w:rsid w:val="00262D93"/>
    <w:rsid w:val="0027106F"/>
    <w:rsid w:val="002715C0"/>
    <w:rsid w:val="002718C8"/>
    <w:rsid w:val="00274860"/>
    <w:rsid w:val="00274BBC"/>
    <w:rsid w:val="00274FD5"/>
    <w:rsid w:val="00277064"/>
    <w:rsid w:val="00280232"/>
    <w:rsid w:val="002817A5"/>
    <w:rsid w:val="0028312B"/>
    <w:rsid w:val="0028583B"/>
    <w:rsid w:val="00285D66"/>
    <w:rsid w:val="00286224"/>
    <w:rsid w:val="00290225"/>
    <w:rsid w:val="00295E83"/>
    <w:rsid w:val="002970A5"/>
    <w:rsid w:val="002A076D"/>
    <w:rsid w:val="002A1D15"/>
    <w:rsid w:val="002A58B6"/>
    <w:rsid w:val="002A6455"/>
    <w:rsid w:val="002B1250"/>
    <w:rsid w:val="002B2D82"/>
    <w:rsid w:val="002B4293"/>
    <w:rsid w:val="002B7A86"/>
    <w:rsid w:val="002C05D5"/>
    <w:rsid w:val="002C5C4E"/>
    <w:rsid w:val="002C7FEE"/>
    <w:rsid w:val="002D6F42"/>
    <w:rsid w:val="002E2FCB"/>
    <w:rsid w:val="002E3BA6"/>
    <w:rsid w:val="002E6B25"/>
    <w:rsid w:val="002F0B46"/>
    <w:rsid w:val="002F46B5"/>
    <w:rsid w:val="002F472A"/>
    <w:rsid w:val="002F56D8"/>
    <w:rsid w:val="002F5918"/>
    <w:rsid w:val="00301A4A"/>
    <w:rsid w:val="003029AA"/>
    <w:rsid w:val="003032E2"/>
    <w:rsid w:val="00304D92"/>
    <w:rsid w:val="00305F2D"/>
    <w:rsid w:val="00305F6E"/>
    <w:rsid w:val="00307073"/>
    <w:rsid w:val="00307B81"/>
    <w:rsid w:val="0031266D"/>
    <w:rsid w:val="00312691"/>
    <w:rsid w:val="00313A6D"/>
    <w:rsid w:val="00314360"/>
    <w:rsid w:val="00321257"/>
    <w:rsid w:val="003213D0"/>
    <w:rsid w:val="00322EBA"/>
    <w:rsid w:val="003251DC"/>
    <w:rsid w:val="00326828"/>
    <w:rsid w:val="003305E9"/>
    <w:rsid w:val="00331519"/>
    <w:rsid w:val="003323BA"/>
    <w:rsid w:val="00333645"/>
    <w:rsid w:val="00334D7F"/>
    <w:rsid w:val="003364D6"/>
    <w:rsid w:val="00336CD3"/>
    <w:rsid w:val="003374D8"/>
    <w:rsid w:val="003447BB"/>
    <w:rsid w:val="003447E8"/>
    <w:rsid w:val="00350760"/>
    <w:rsid w:val="003509B1"/>
    <w:rsid w:val="00352659"/>
    <w:rsid w:val="00361E19"/>
    <w:rsid w:val="003644D0"/>
    <w:rsid w:val="00364B93"/>
    <w:rsid w:val="00370F43"/>
    <w:rsid w:val="00380119"/>
    <w:rsid w:val="00380E0E"/>
    <w:rsid w:val="003810E0"/>
    <w:rsid w:val="00381A18"/>
    <w:rsid w:val="00393EF9"/>
    <w:rsid w:val="00397A5C"/>
    <w:rsid w:val="003A071E"/>
    <w:rsid w:val="003A276B"/>
    <w:rsid w:val="003A3E63"/>
    <w:rsid w:val="003A545D"/>
    <w:rsid w:val="003A57AE"/>
    <w:rsid w:val="003A68BA"/>
    <w:rsid w:val="003B3E95"/>
    <w:rsid w:val="003B4EAC"/>
    <w:rsid w:val="003B53F1"/>
    <w:rsid w:val="003B614C"/>
    <w:rsid w:val="003C00D6"/>
    <w:rsid w:val="003C162F"/>
    <w:rsid w:val="003C5394"/>
    <w:rsid w:val="003D3D1C"/>
    <w:rsid w:val="003D4784"/>
    <w:rsid w:val="003E1816"/>
    <w:rsid w:val="003E370A"/>
    <w:rsid w:val="003F1155"/>
    <w:rsid w:val="003F14E2"/>
    <w:rsid w:val="003F2698"/>
    <w:rsid w:val="003F3891"/>
    <w:rsid w:val="003F7B32"/>
    <w:rsid w:val="00401035"/>
    <w:rsid w:val="00401692"/>
    <w:rsid w:val="00403045"/>
    <w:rsid w:val="00403D54"/>
    <w:rsid w:val="004112EE"/>
    <w:rsid w:val="00412CA9"/>
    <w:rsid w:val="00412FF9"/>
    <w:rsid w:val="004168BA"/>
    <w:rsid w:val="00420191"/>
    <w:rsid w:val="00423883"/>
    <w:rsid w:val="0042547F"/>
    <w:rsid w:val="00425C45"/>
    <w:rsid w:val="00427C76"/>
    <w:rsid w:val="00432F0F"/>
    <w:rsid w:val="00437AC7"/>
    <w:rsid w:val="0044196D"/>
    <w:rsid w:val="00447775"/>
    <w:rsid w:val="0045001B"/>
    <w:rsid w:val="0045320B"/>
    <w:rsid w:val="00456A88"/>
    <w:rsid w:val="00456DF9"/>
    <w:rsid w:val="00457C22"/>
    <w:rsid w:val="00465475"/>
    <w:rsid w:val="00465CC1"/>
    <w:rsid w:val="00474B0D"/>
    <w:rsid w:val="00476DB6"/>
    <w:rsid w:val="00484402"/>
    <w:rsid w:val="0048595B"/>
    <w:rsid w:val="0048740A"/>
    <w:rsid w:val="00487AD1"/>
    <w:rsid w:val="00493B41"/>
    <w:rsid w:val="00495DF5"/>
    <w:rsid w:val="004970F9"/>
    <w:rsid w:val="004A024A"/>
    <w:rsid w:val="004A0590"/>
    <w:rsid w:val="004A5042"/>
    <w:rsid w:val="004A5301"/>
    <w:rsid w:val="004A5D0A"/>
    <w:rsid w:val="004A6575"/>
    <w:rsid w:val="004B215C"/>
    <w:rsid w:val="004B24F3"/>
    <w:rsid w:val="004B3EA9"/>
    <w:rsid w:val="004C21E4"/>
    <w:rsid w:val="004C31E7"/>
    <w:rsid w:val="004C3E96"/>
    <w:rsid w:val="004D0635"/>
    <w:rsid w:val="004D40C5"/>
    <w:rsid w:val="004D4BC3"/>
    <w:rsid w:val="004D4BEA"/>
    <w:rsid w:val="004D5540"/>
    <w:rsid w:val="004D60DF"/>
    <w:rsid w:val="004E00C6"/>
    <w:rsid w:val="004E245C"/>
    <w:rsid w:val="004E2CF2"/>
    <w:rsid w:val="004E50CA"/>
    <w:rsid w:val="004E6989"/>
    <w:rsid w:val="004E6A69"/>
    <w:rsid w:val="004E7CB8"/>
    <w:rsid w:val="004E7E0C"/>
    <w:rsid w:val="004F0832"/>
    <w:rsid w:val="004F0C9C"/>
    <w:rsid w:val="004F0D48"/>
    <w:rsid w:val="004F28F9"/>
    <w:rsid w:val="004F456E"/>
    <w:rsid w:val="004F6A3A"/>
    <w:rsid w:val="004F73B6"/>
    <w:rsid w:val="0050002B"/>
    <w:rsid w:val="005004C7"/>
    <w:rsid w:val="00502212"/>
    <w:rsid w:val="00502915"/>
    <w:rsid w:val="005105AD"/>
    <w:rsid w:val="00511A33"/>
    <w:rsid w:val="005162EE"/>
    <w:rsid w:val="0052056F"/>
    <w:rsid w:val="00520C3A"/>
    <w:rsid w:val="00520EFD"/>
    <w:rsid w:val="00521512"/>
    <w:rsid w:val="0052182A"/>
    <w:rsid w:val="0052386F"/>
    <w:rsid w:val="00523B38"/>
    <w:rsid w:val="00526F9C"/>
    <w:rsid w:val="00526FBE"/>
    <w:rsid w:val="00527311"/>
    <w:rsid w:val="00527BD0"/>
    <w:rsid w:val="00530499"/>
    <w:rsid w:val="0053131C"/>
    <w:rsid w:val="00532748"/>
    <w:rsid w:val="005361A5"/>
    <w:rsid w:val="00537B9F"/>
    <w:rsid w:val="00537E01"/>
    <w:rsid w:val="00537F14"/>
    <w:rsid w:val="00542DC2"/>
    <w:rsid w:val="00552A1F"/>
    <w:rsid w:val="0055414B"/>
    <w:rsid w:val="005611CF"/>
    <w:rsid w:val="00566759"/>
    <w:rsid w:val="00572F02"/>
    <w:rsid w:val="00574DD3"/>
    <w:rsid w:val="00575767"/>
    <w:rsid w:val="00576232"/>
    <w:rsid w:val="0057784E"/>
    <w:rsid w:val="0058246C"/>
    <w:rsid w:val="00583935"/>
    <w:rsid w:val="00585653"/>
    <w:rsid w:val="00586584"/>
    <w:rsid w:val="005924EE"/>
    <w:rsid w:val="00594C1B"/>
    <w:rsid w:val="005950A3"/>
    <w:rsid w:val="005960AA"/>
    <w:rsid w:val="00597A56"/>
    <w:rsid w:val="005A0A7B"/>
    <w:rsid w:val="005A0E7D"/>
    <w:rsid w:val="005A2282"/>
    <w:rsid w:val="005A3152"/>
    <w:rsid w:val="005B04DC"/>
    <w:rsid w:val="005B11AA"/>
    <w:rsid w:val="005B5431"/>
    <w:rsid w:val="005B5AAB"/>
    <w:rsid w:val="005B5ED4"/>
    <w:rsid w:val="005B6C4A"/>
    <w:rsid w:val="005B75F6"/>
    <w:rsid w:val="005B7DA4"/>
    <w:rsid w:val="005C0499"/>
    <w:rsid w:val="005C12BC"/>
    <w:rsid w:val="005D2C5C"/>
    <w:rsid w:val="005D36AF"/>
    <w:rsid w:val="005D690D"/>
    <w:rsid w:val="005E3255"/>
    <w:rsid w:val="005E3C71"/>
    <w:rsid w:val="005E5317"/>
    <w:rsid w:val="005E5475"/>
    <w:rsid w:val="0060050F"/>
    <w:rsid w:val="00602965"/>
    <w:rsid w:val="0060609D"/>
    <w:rsid w:val="006064BC"/>
    <w:rsid w:val="00606580"/>
    <w:rsid w:val="006067A4"/>
    <w:rsid w:val="00611565"/>
    <w:rsid w:val="0061240D"/>
    <w:rsid w:val="00612971"/>
    <w:rsid w:val="00614A8A"/>
    <w:rsid w:val="00617285"/>
    <w:rsid w:val="00620D4C"/>
    <w:rsid w:val="00623FAB"/>
    <w:rsid w:val="0063024A"/>
    <w:rsid w:val="0063257A"/>
    <w:rsid w:val="006347F7"/>
    <w:rsid w:val="00646417"/>
    <w:rsid w:val="00647633"/>
    <w:rsid w:val="006533D9"/>
    <w:rsid w:val="00656838"/>
    <w:rsid w:val="00662076"/>
    <w:rsid w:val="00663397"/>
    <w:rsid w:val="006672C4"/>
    <w:rsid w:val="00670339"/>
    <w:rsid w:val="00672DCD"/>
    <w:rsid w:val="006737C2"/>
    <w:rsid w:val="00674CA7"/>
    <w:rsid w:val="006770E3"/>
    <w:rsid w:val="006772C4"/>
    <w:rsid w:val="006773D4"/>
    <w:rsid w:val="006809EB"/>
    <w:rsid w:val="006823DD"/>
    <w:rsid w:val="0068361D"/>
    <w:rsid w:val="00683857"/>
    <w:rsid w:val="00683BD4"/>
    <w:rsid w:val="0068693A"/>
    <w:rsid w:val="006911B0"/>
    <w:rsid w:val="00693D7D"/>
    <w:rsid w:val="0069501A"/>
    <w:rsid w:val="00695A63"/>
    <w:rsid w:val="00696BAF"/>
    <w:rsid w:val="00697275"/>
    <w:rsid w:val="006A09BF"/>
    <w:rsid w:val="006A558E"/>
    <w:rsid w:val="006B105F"/>
    <w:rsid w:val="006B190C"/>
    <w:rsid w:val="006B1C25"/>
    <w:rsid w:val="006B4F5A"/>
    <w:rsid w:val="006C0684"/>
    <w:rsid w:val="006C3970"/>
    <w:rsid w:val="006C481D"/>
    <w:rsid w:val="006C6057"/>
    <w:rsid w:val="006C734F"/>
    <w:rsid w:val="006C7F54"/>
    <w:rsid w:val="006D03D3"/>
    <w:rsid w:val="006D51AC"/>
    <w:rsid w:val="006D53DE"/>
    <w:rsid w:val="006D7435"/>
    <w:rsid w:val="006D782E"/>
    <w:rsid w:val="006E42DC"/>
    <w:rsid w:val="006E5B4A"/>
    <w:rsid w:val="006F020C"/>
    <w:rsid w:val="006F0457"/>
    <w:rsid w:val="006F0A73"/>
    <w:rsid w:val="00703918"/>
    <w:rsid w:val="00703CB0"/>
    <w:rsid w:val="00704E43"/>
    <w:rsid w:val="00705714"/>
    <w:rsid w:val="007068CB"/>
    <w:rsid w:val="00706E2F"/>
    <w:rsid w:val="00710B4D"/>
    <w:rsid w:val="00711060"/>
    <w:rsid w:val="00711494"/>
    <w:rsid w:val="00720C82"/>
    <w:rsid w:val="00724673"/>
    <w:rsid w:val="00724A23"/>
    <w:rsid w:val="007304CA"/>
    <w:rsid w:val="007328F0"/>
    <w:rsid w:val="00732B43"/>
    <w:rsid w:val="00735FF3"/>
    <w:rsid w:val="00740DBB"/>
    <w:rsid w:val="00741E3C"/>
    <w:rsid w:val="0074615A"/>
    <w:rsid w:val="0074626B"/>
    <w:rsid w:val="00747635"/>
    <w:rsid w:val="00752769"/>
    <w:rsid w:val="00755CD3"/>
    <w:rsid w:val="00756852"/>
    <w:rsid w:val="00757E1C"/>
    <w:rsid w:val="00760155"/>
    <w:rsid w:val="00761A85"/>
    <w:rsid w:val="00763123"/>
    <w:rsid w:val="00763C21"/>
    <w:rsid w:val="00763EB1"/>
    <w:rsid w:val="0076696E"/>
    <w:rsid w:val="0077185F"/>
    <w:rsid w:val="00772208"/>
    <w:rsid w:val="00774E05"/>
    <w:rsid w:val="00776A29"/>
    <w:rsid w:val="00776B21"/>
    <w:rsid w:val="007779C8"/>
    <w:rsid w:val="00780AFF"/>
    <w:rsid w:val="00781B67"/>
    <w:rsid w:val="00785D17"/>
    <w:rsid w:val="00786E4F"/>
    <w:rsid w:val="00786FAD"/>
    <w:rsid w:val="007872A3"/>
    <w:rsid w:val="007919E5"/>
    <w:rsid w:val="00793957"/>
    <w:rsid w:val="00797C7E"/>
    <w:rsid w:val="007A0CE6"/>
    <w:rsid w:val="007A312B"/>
    <w:rsid w:val="007A31EB"/>
    <w:rsid w:val="007A3B84"/>
    <w:rsid w:val="007A7CED"/>
    <w:rsid w:val="007A7D22"/>
    <w:rsid w:val="007B3AD2"/>
    <w:rsid w:val="007C0707"/>
    <w:rsid w:val="007C35EA"/>
    <w:rsid w:val="007C42CF"/>
    <w:rsid w:val="007D15E8"/>
    <w:rsid w:val="007D5881"/>
    <w:rsid w:val="007D6120"/>
    <w:rsid w:val="007D665A"/>
    <w:rsid w:val="007D6676"/>
    <w:rsid w:val="007E000B"/>
    <w:rsid w:val="007E2548"/>
    <w:rsid w:val="007E29D6"/>
    <w:rsid w:val="007E5CC8"/>
    <w:rsid w:val="007E6FEC"/>
    <w:rsid w:val="007E70CC"/>
    <w:rsid w:val="007F0A1A"/>
    <w:rsid w:val="007F4307"/>
    <w:rsid w:val="007F7500"/>
    <w:rsid w:val="007F79BD"/>
    <w:rsid w:val="00800261"/>
    <w:rsid w:val="00800956"/>
    <w:rsid w:val="00800E08"/>
    <w:rsid w:val="00801287"/>
    <w:rsid w:val="00805319"/>
    <w:rsid w:val="00807419"/>
    <w:rsid w:val="00812E81"/>
    <w:rsid w:val="008137E1"/>
    <w:rsid w:val="008139B0"/>
    <w:rsid w:val="00816970"/>
    <w:rsid w:val="00817B9F"/>
    <w:rsid w:val="00824B61"/>
    <w:rsid w:val="00825CEA"/>
    <w:rsid w:val="00827DA3"/>
    <w:rsid w:val="008302A6"/>
    <w:rsid w:val="00831ABA"/>
    <w:rsid w:val="00837F3B"/>
    <w:rsid w:val="008445ED"/>
    <w:rsid w:val="00844650"/>
    <w:rsid w:val="0084485B"/>
    <w:rsid w:val="00844BAC"/>
    <w:rsid w:val="008451E3"/>
    <w:rsid w:val="00847803"/>
    <w:rsid w:val="008505F7"/>
    <w:rsid w:val="00851027"/>
    <w:rsid w:val="008541EE"/>
    <w:rsid w:val="00855036"/>
    <w:rsid w:val="00856666"/>
    <w:rsid w:val="00863561"/>
    <w:rsid w:val="00863D9E"/>
    <w:rsid w:val="00864262"/>
    <w:rsid w:val="0086474A"/>
    <w:rsid w:val="00864786"/>
    <w:rsid w:val="0086573A"/>
    <w:rsid w:val="00865BFA"/>
    <w:rsid w:val="00874060"/>
    <w:rsid w:val="00880FC6"/>
    <w:rsid w:val="008819C7"/>
    <w:rsid w:val="008860DE"/>
    <w:rsid w:val="00887A6F"/>
    <w:rsid w:val="00890D15"/>
    <w:rsid w:val="008920CD"/>
    <w:rsid w:val="008940EE"/>
    <w:rsid w:val="008A2111"/>
    <w:rsid w:val="008A43E6"/>
    <w:rsid w:val="008A5E7D"/>
    <w:rsid w:val="008B0A1A"/>
    <w:rsid w:val="008B1440"/>
    <w:rsid w:val="008B447E"/>
    <w:rsid w:val="008B6821"/>
    <w:rsid w:val="008C20B3"/>
    <w:rsid w:val="008C2B39"/>
    <w:rsid w:val="008C5D13"/>
    <w:rsid w:val="008D0336"/>
    <w:rsid w:val="008D19B8"/>
    <w:rsid w:val="008D2894"/>
    <w:rsid w:val="008D3D3D"/>
    <w:rsid w:val="008E42F6"/>
    <w:rsid w:val="008E4AF7"/>
    <w:rsid w:val="008F19F1"/>
    <w:rsid w:val="008F1BA9"/>
    <w:rsid w:val="008F5AA6"/>
    <w:rsid w:val="008F6430"/>
    <w:rsid w:val="008F65CA"/>
    <w:rsid w:val="008F7817"/>
    <w:rsid w:val="00900CFA"/>
    <w:rsid w:val="00902637"/>
    <w:rsid w:val="00903944"/>
    <w:rsid w:val="00906269"/>
    <w:rsid w:val="009100F9"/>
    <w:rsid w:val="00911983"/>
    <w:rsid w:val="00912F89"/>
    <w:rsid w:val="00913657"/>
    <w:rsid w:val="00915D2E"/>
    <w:rsid w:val="009170E5"/>
    <w:rsid w:val="00920C0D"/>
    <w:rsid w:val="00920C82"/>
    <w:rsid w:val="009220B1"/>
    <w:rsid w:val="009303EF"/>
    <w:rsid w:val="00932673"/>
    <w:rsid w:val="00937C66"/>
    <w:rsid w:val="00937CB2"/>
    <w:rsid w:val="00941D3B"/>
    <w:rsid w:val="0094413A"/>
    <w:rsid w:val="00951E7C"/>
    <w:rsid w:val="0095255D"/>
    <w:rsid w:val="009538C9"/>
    <w:rsid w:val="009543D4"/>
    <w:rsid w:val="00961E2B"/>
    <w:rsid w:val="0096422F"/>
    <w:rsid w:val="009645A7"/>
    <w:rsid w:val="009704BE"/>
    <w:rsid w:val="00972309"/>
    <w:rsid w:val="00974067"/>
    <w:rsid w:val="0097534C"/>
    <w:rsid w:val="00983BAE"/>
    <w:rsid w:val="00992F9D"/>
    <w:rsid w:val="00993FED"/>
    <w:rsid w:val="009954F9"/>
    <w:rsid w:val="009A0E75"/>
    <w:rsid w:val="009A2092"/>
    <w:rsid w:val="009A40DA"/>
    <w:rsid w:val="009A5A28"/>
    <w:rsid w:val="009A5B27"/>
    <w:rsid w:val="009A6B4B"/>
    <w:rsid w:val="009A742B"/>
    <w:rsid w:val="009A7879"/>
    <w:rsid w:val="009B1522"/>
    <w:rsid w:val="009B2A62"/>
    <w:rsid w:val="009B58C7"/>
    <w:rsid w:val="009B6B9B"/>
    <w:rsid w:val="009B74ED"/>
    <w:rsid w:val="009C4946"/>
    <w:rsid w:val="009D2B74"/>
    <w:rsid w:val="009D4395"/>
    <w:rsid w:val="009D511F"/>
    <w:rsid w:val="009D59E7"/>
    <w:rsid w:val="009D63A2"/>
    <w:rsid w:val="009E162A"/>
    <w:rsid w:val="009E1EBB"/>
    <w:rsid w:val="009E2D65"/>
    <w:rsid w:val="009E497A"/>
    <w:rsid w:val="009E4CDB"/>
    <w:rsid w:val="009E6FE9"/>
    <w:rsid w:val="009F01A6"/>
    <w:rsid w:val="009F07A7"/>
    <w:rsid w:val="009F41E1"/>
    <w:rsid w:val="009F51B2"/>
    <w:rsid w:val="009F6133"/>
    <w:rsid w:val="00A01EAD"/>
    <w:rsid w:val="00A0360C"/>
    <w:rsid w:val="00A045B0"/>
    <w:rsid w:val="00A119F4"/>
    <w:rsid w:val="00A23C8C"/>
    <w:rsid w:val="00A34876"/>
    <w:rsid w:val="00A35332"/>
    <w:rsid w:val="00A3605E"/>
    <w:rsid w:val="00A40176"/>
    <w:rsid w:val="00A40BBE"/>
    <w:rsid w:val="00A47762"/>
    <w:rsid w:val="00A53094"/>
    <w:rsid w:val="00A547A2"/>
    <w:rsid w:val="00A560F1"/>
    <w:rsid w:val="00A56E57"/>
    <w:rsid w:val="00A6110E"/>
    <w:rsid w:val="00A61D8E"/>
    <w:rsid w:val="00A61DD5"/>
    <w:rsid w:val="00A62150"/>
    <w:rsid w:val="00A674C8"/>
    <w:rsid w:val="00A800DD"/>
    <w:rsid w:val="00A80EB5"/>
    <w:rsid w:val="00A8444C"/>
    <w:rsid w:val="00A84A90"/>
    <w:rsid w:val="00A86308"/>
    <w:rsid w:val="00A91BEE"/>
    <w:rsid w:val="00A95724"/>
    <w:rsid w:val="00AA2D52"/>
    <w:rsid w:val="00AA33DD"/>
    <w:rsid w:val="00AA549B"/>
    <w:rsid w:val="00AA79D5"/>
    <w:rsid w:val="00AB6057"/>
    <w:rsid w:val="00AB63F3"/>
    <w:rsid w:val="00AB6B7D"/>
    <w:rsid w:val="00AC020F"/>
    <w:rsid w:val="00AC30A1"/>
    <w:rsid w:val="00AC5F97"/>
    <w:rsid w:val="00AC706F"/>
    <w:rsid w:val="00AC7538"/>
    <w:rsid w:val="00AC7CCA"/>
    <w:rsid w:val="00AD2540"/>
    <w:rsid w:val="00AD29EC"/>
    <w:rsid w:val="00AE026C"/>
    <w:rsid w:val="00AE27CB"/>
    <w:rsid w:val="00AE3A1A"/>
    <w:rsid w:val="00AE5606"/>
    <w:rsid w:val="00AF06FC"/>
    <w:rsid w:val="00AF1B76"/>
    <w:rsid w:val="00AF1CA4"/>
    <w:rsid w:val="00AF3ECE"/>
    <w:rsid w:val="00B01319"/>
    <w:rsid w:val="00B112B9"/>
    <w:rsid w:val="00B15947"/>
    <w:rsid w:val="00B16772"/>
    <w:rsid w:val="00B25E93"/>
    <w:rsid w:val="00B30EF5"/>
    <w:rsid w:val="00B32E24"/>
    <w:rsid w:val="00B3381F"/>
    <w:rsid w:val="00B35DF3"/>
    <w:rsid w:val="00B40CD6"/>
    <w:rsid w:val="00B42488"/>
    <w:rsid w:val="00B42CB4"/>
    <w:rsid w:val="00B42E9F"/>
    <w:rsid w:val="00B44A4A"/>
    <w:rsid w:val="00B457EA"/>
    <w:rsid w:val="00B51314"/>
    <w:rsid w:val="00B5137A"/>
    <w:rsid w:val="00B52DCF"/>
    <w:rsid w:val="00B5311E"/>
    <w:rsid w:val="00B6304C"/>
    <w:rsid w:val="00B67E9A"/>
    <w:rsid w:val="00B709B4"/>
    <w:rsid w:val="00B71890"/>
    <w:rsid w:val="00B71CDB"/>
    <w:rsid w:val="00B7363F"/>
    <w:rsid w:val="00B762B9"/>
    <w:rsid w:val="00B803FB"/>
    <w:rsid w:val="00B82CD5"/>
    <w:rsid w:val="00B82F68"/>
    <w:rsid w:val="00B84BFF"/>
    <w:rsid w:val="00B85550"/>
    <w:rsid w:val="00B95766"/>
    <w:rsid w:val="00B9590D"/>
    <w:rsid w:val="00B9626C"/>
    <w:rsid w:val="00BA25B2"/>
    <w:rsid w:val="00BA47D0"/>
    <w:rsid w:val="00BB1583"/>
    <w:rsid w:val="00BB37F8"/>
    <w:rsid w:val="00BB4C48"/>
    <w:rsid w:val="00BB6590"/>
    <w:rsid w:val="00BB66F8"/>
    <w:rsid w:val="00BB6C9D"/>
    <w:rsid w:val="00BB745A"/>
    <w:rsid w:val="00BB7D20"/>
    <w:rsid w:val="00BC0FAD"/>
    <w:rsid w:val="00BC15F6"/>
    <w:rsid w:val="00BC3E61"/>
    <w:rsid w:val="00BC480F"/>
    <w:rsid w:val="00BC67B8"/>
    <w:rsid w:val="00BD0F12"/>
    <w:rsid w:val="00BD1A9E"/>
    <w:rsid w:val="00BD4282"/>
    <w:rsid w:val="00BE0932"/>
    <w:rsid w:val="00BE6579"/>
    <w:rsid w:val="00BE7181"/>
    <w:rsid w:val="00BF2BCD"/>
    <w:rsid w:val="00BF2EED"/>
    <w:rsid w:val="00BF72A9"/>
    <w:rsid w:val="00C01443"/>
    <w:rsid w:val="00C01B99"/>
    <w:rsid w:val="00C032B1"/>
    <w:rsid w:val="00C0467E"/>
    <w:rsid w:val="00C11450"/>
    <w:rsid w:val="00C12F5C"/>
    <w:rsid w:val="00C16144"/>
    <w:rsid w:val="00C16785"/>
    <w:rsid w:val="00C17008"/>
    <w:rsid w:val="00C17450"/>
    <w:rsid w:val="00C21245"/>
    <w:rsid w:val="00C228D2"/>
    <w:rsid w:val="00C264AA"/>
    <w:rsid w:val="00C26D77"/>
    <w:rsid w:val="00C30820"/>
    <w:rsid w:val="00C347D4"/>
    <w:rsid w:val="00C40031"/>
    <w:rsid w:val="00C41794"/>
    <w:rsid w:val="00C4187F"/>
    <w:rsid w:val="00C41F64"/>
    <w:rsid w:val="00C45F7E"/>
    <w:rsid w:val="00C52AAB"/>
    <w:rsid w:val="00C52D80"/>
    <w:rsid w:val="00C5516A"/>
    <w:rsid w:val="00C572B9"/>
    <w:rsid w:val="00C702D9"/>
    <w:rsid w:val="00C7478C"/>
    <w:rsid w:val="00C7604F"/>
    <w:rsid w:val="00C77790"/>
    <w:rsid w:val="00C77D4B"/>
    <w:rsid w:val="00C827F5"/>
    <w:rsid w:val="00C82D23"/>
    <w:rsid w:val="00C84918"/>
    <w:rsid w:val="00C87C34"/>
    <w:rsid w:val="00C92AC9"/>
    <w:rsid w:val="00C93016"/>
    <w:rsid w:val="00C95B84"/>
    <w:rsid w:val="00CA0CDD"/>
    <w:rsid w:val="00CA1825"/>
    <w:rsid w:val="00CA34B0"/>
    <w:rsid w:val="00CA422A"/>
    <w:rsid w:val="00CB1C78"/>
    <w:rsid w:val="00CC0694"/>
    <w:rsid w:val="00CC3C52"/>
    <w:rsid w:val="00CD1083"/>
    <w:rsid w:val="00CD29DA"/>
    <w:rsid w:val="00CD5241"/>
    <w:rsid w:val="00CD52CA"/>
    <w:rsid w:val="00CD54B1"/>
    <w:rsid w:val="00CE0B14"/>
    <w:rsid w:val="00CE33CD"/>
    <w:rsid w:val="00CE4901"/>
    <w:rsid w:val="00CF016D"/>
    <w:rsid w:val="00CF2084"/>
    <w:rsid w:val="00CF6A79"/>
    <w:rsid w:val="00CF7657"/>
    <w:rsid w:val="00D04829"/>
    <w:rsid w:val="00D04C10"/>
    <w:rsid w:val="00D065DB"/>
    <w:rsid w:val="00D06637"/>
    <w:rsid w:val="00D07885"/>
    <w:rsid w:val="00D10265"/>
    <w:rsid w:val="00D11238"/>
    <w:rsid w:val="00D154CB"/>
    <w:rsid w:val="00D155F1"/>
    <w:rsid w:val="00D206FB"/>
    <w:rsid w:val="00D24D5F"/>
    <w:rsid w:val="00D26EA4"/>
    <w:rsid w:val="00D31BED"/>
    <w:rsid w:val="00D35506"/>
    <w:rsid w:val="00D3605A"/>
    <w:rsid w:val="00D36D29"/>
    <w:rsid w:val="00D377DF"/>
    <w:rsid w:val="00D44187"/>
    <w:rsid w:val="00D45135"/>
    <w:rsid w:val="00D45DE7"/>
    <w:rsid w:val="00D5053C"/>
    <w:rsid w:val="00D5079A"/>
    <w:rsid w:val="00D520EE"/>
    <w:rsid w:val="00D5336A"/>
    <w:rsid w:val="00D53FAB"/>
    <w:rsid w:val="00D629AD"/>
    <w:rsid w:val="00D655DA"/>
    <w:rsid w:val="00D65835"/>
    <w:rsid w:val="00D6625A"/>
    <w:rsid w:val="00D73A74"/>
    <w:rsid w:val="00D740E8"/>
    <w:rsid w:val="00D855FF"/>
    <w:rsid w:val="00D86446"/>
    <w:rsid w:val="00D939D0"/>
    <w:rsid w:val="00D96D69"/>
    <w:rsid w:val="00DA0C7F"/>
    <w:rsid w:val="00DA0FEC"/>
    <w:rsid w:val="00DA3227"/>
    <w:rsid w:val="00DA3F58"/>
    <w:rsid w:val="00DA4C00"/>
    <w:rsid w:val="00DA6631"/>
    <w:rsid w:val="00DA6AC3"/>
    <w:rsid w:val="00DB0A05"/>
    <w:rsid w:val="00DB1E20"/>
    <w:rsid w:val="00DB4D66"/>
    <w:rsid w:val="00DB4D69"/>
    <w:rsid w:val="00DB5634"/>
    <w:rsid w:val="00DB6468"/>
    <w:rsid w:val="00DC0E2E"/>
    <w:rsid w:val="00DC21D0"/>
    <w:rsid w:val="00DC2691"/>
    <w:rsid w:val="00DC795B"/>
    <w:rsid w:val="00DC7FC1"/>
    <w:rsid w:val="00DD0DB3"/>
    <w:rsid w:val="00DD1379"/>
    <w:rsid w:val="00DD2E10"/>
    <w:rsid w:val="00DD2EA2"/>
    <w:rsid w:val="00DD3C7C"/>
    <w:rsid w:val="00DE2C89"/>
    <w:rsid w:val="00DE4E87"/>
    <w:rsid w:val="00DE5959"/>
    <w:rsid w:val="00DF0934"/>
    <w:rsid w:val="00DF392E"/>
    <w:rsid w:val="00DF3E67"/>
    <w:rsid w:val="00DF3E97"/>
    <w:rsid w:val="00DF42BF"/>
    <w:rsid w:val="00DF5EFD"/>
    <w:rsid w:val="00E03E4A"/>
    <w:rsid w:val="00E05262"/>
    <w:rsid w:val="00E100AB"/>
    <w:rsid w:val="00E10366"/>
    <w:rsid w:val="00E11903"/>
    <w:rsid w:val="00E12F73"/>
    <w:rsid w:val="00E138E6"/>
    <w:rsid w:val="00E13C9B"/>
    <w:rsid w:val="00E14300"/>
    <w:rsid w:val="00E15EB8"/>
    <w:rsid w:val="00E16E28"/>
    <w:rsid w:val="00E16F12"/>
    <w:rsid w:val="00E226A6"/>
    <w:rsid w:val="00E23CC5"/>
    <w:rsid w:val="00E24214"/>
    <w:rsid w:val="00E2532A"/>
    <w:rsid w:val="00E25DCC"/>
    <w:rsid w:val="00E336E4"/>
    <w:rsid w:val="00E348FC"/>
    <w:rsid w:val="00E34A06"/>
    <w:rsid w:val="00E4135A"/>
    <w:rsid w:val="00E416C0"/>
    <w:rsid w:val="00E41D63"/>
    <w:rsid w:val="00E44312"/>
    <w:rsid w:val="00E45D0C"/>
    <w:rsid w:val="00E4705D"/>
    <w:rsid w:val="00E4726C"/>
    <w:rsid w:val="00E514BE"/>
    <w:rsid w:val="00E62A25"/>
    <w:rsid w:val="00E73E5A"/>
    <w:rsid w:val="00E75EC8"/>
    <w:rsid w:val="00E76E9A"/>
    <w:rsid w:val="00E774FE"/>
    <w:rsid w:val="00E77A0E"/>
    <w:rsid w:val="00E80716"/>
    <w:rsid w:val="00E80F5A"/>
    <w:rsid w:val="00E811BB"/>
    <w:rsid w:val="00E83CCC"/>
    <w:rsid w:val="00E84FE2"/>
    <w:rsid w:val="00E85209"/>
    <w:rsid w:val="00E8559E"/>
    <w:rsid w:val="00E8606C"/>
    <w:rsid w:val="00E8662F"/>
    <w:rsid w:val="00E9341F"/>
    <w:rsid w:val="00E941BF"/>
    <w:rsid w:val="00EA0E26"/>
    <w:rsid w:val="00EA4A21"/>
    <w:rsid w:val="00EB5186"/>
    <w:rsid w:val="00EC30EA"/>
    <w:rsid w:val="00EC4A8A"/>
    <w:rsid w:val="00ED0ED2"/>
    <w:rsid w:val="00ED1D11"/>
    <w:rsid w:val="00ED3353"/>
    <w:rsid w:val="00ED7716"/>
    <w:rsid w:val="00EE13E3"/>
    <w:rsid w:val="00EE5369"/>
    <w:rsid w:val="00EE5DBD"/>
    <w:rsid w:val="00EE6181"/>
    <w:rsid w:val="00EF02B9"/>
    <w:rsid w:val="00EF1FE2"/>
    <w:rsid w:val="00F00241"/>
    <w:rsid w:val="00F00941"/>
    <w:rsid w:val="00F0401C"/>
    <w:rsid w:val="00F05DB5"/>
    <w:rsid w:val="00F06D3B"/>
    <w:rsid w:val="00F16D9E"/>
    <w:rsid w:val="00F16F57"/>
    <w:rsid w:val="00F200CE"/>
    <w:rsid w:val="00F20EE4"/>
    <w:rsid w:val="00F224C4"/>
    <w:rsid w:val="00F22D27"/>
    <w:rsid w:val="00F24745"/>
    <w:rsid w:val="00F26171"/>
    <w:rsid w:val="00F267F2"/>
    <w:rsid w:val="00F31884"/>
    <w:rsid w:val="00F32744"/>
    <w:rsid w:val="00F34E8D"/>
    <w:rsid w:val="00F37B6F"/>
    <w:rsid w:val="00F37F44"/>
    <w:rsid w:val="00F441CD"/>
    <w:rsid w:val="00F44C2E"/>
    <w:rsid w:val="00F50649"/>
    <w:rsid w:val="00F56F51"/>
    <w:rsid w:val="00F610A2"/>
    <w:rsid w:val="00F61F5C"/>
    <w:rsid w:val="00F62A2A"/>
    <w:rsid w:val="00F633E8"/>
    <w:rsid w:val="00F640B9"/>
    <w:rsid w:val="00F67B3D"/>
    <w:rsid w:val="00F71EEF"/>
    <w:rsid w:val="00F742D5"/>
    <w:rsid w:val="00F75319"/>
    <w:rsid w:val="00F84EFC"/>
    <w:rsid w:val="00F90966"/>
    <w:rsid w:val="00F9326F"/>
    <w:rsid w:val="00F97DD0"/>
    <w:rsid w:val="00FA1D10"/>
    <w:rsid w:val="00FA24D7"/>
    <w:rsid w:val="00FA55FB"/>
    <w:rsid w:val="00FB1F51"/>
    <w:rsid w:val="00FB3C65"/>
    <w:rsid w:val="00FB419E"/>
    <w:rsid w:val="00FB522D"/>
    <w:rsid w:val="00FB6ED9"/>
    <w:rsid w:val="00FC0451"/>
    <w:rsid w:val="00FC0CB8"/>
    <w:rsid w:val="00FC50DE"/>
    <w:rsid w:val="00FC67E6"/>
    <w:rsid w:val="00FD2732"/>
    <w:rsid w:val="00FD3AB0"/>
    <w:rsid w:val="00FD5A94"/>
    <w:rsid w:val="00FE41E2"/>
    <w:rsid w:val="00FE4D7A"/>
    <w:rsid w:val="00FF1175"/>
    <w:rsid w:val="00FF45F8"/>
    <w:rsid w:val="00FF5FAB"/>
    <w:rsid w:val="00FF6AA2"/>
    <w:rsid w:val="00FF75BF"/>
    <w:rsid w:val="00FF770A"/>
    <w:rsid w:val="00FF7B4C"/>
    <w:rsid w:val="01C2618A"/>
    <w:rsid w:val="01DB686C"/>
    <w:rsid w:val="02DA6F62"/>
    <w:rsid w:val="048E1E14"/>
    <w:rsid w:val="04D17BAE"/>
    <w:rsid w:val="053F41C5"/>
    <w:rsid w:val="06816C1F"/>
    <w:rsid w:val="069E132B"/>
    <w:rsid w:val="07F22DF2"/>
    <w:rsid w:val="083572B6"/>
    <w:rsid w:val="08B35546"/>
    <w:rsid w:val="0A3B2964"/>
    <w:rsid w:val="0A5C36FE"/>
    <w:rsid w:val="0AF46C33"/>
    <w:rsid w:val="0B3C6E15"/>
    <w:rsid w:val="0BA723D3"/>
    <w:rsid w:val="0C162911"/>
    <w:rsid w:val="0D171521"/>
    <w:rsid w:val="0D715F7D"/>
    <w:rsid w:val="0E1D096F"/>
    <w:rsid w:val="0E561C00"/>
    <w:rsid w:val="11012A49"/>
    <w:rsid w:val="121F79CC"/>
    <w:rsid w:val="12AB0F6E"/>
    <w:rsid w:val="12C46AD7"/>
    <w:rsid w:val="13253638"/>
    <w:rsid w:val="143A1B3C"/>
    <w:rsid w:val="14B8240A"/>
    <w:rsid w:val="150978DB"/>
    <w:rsid w:val="1667629C"/>
    <w:rsid w:val="169961A3"/>
    <w:rsid w:val="16D47E4D"/>
    <w:rsid w:val="175536CB"/>
    <w:rsid w:val="176E673D"/>
    <w:rsid w:val="17765C1D"/>
    <w:rsid w:val="187319A9"/>
    <w:rsid w:val="18BF1EA7"/>
    <w:rsid w:val="197D395D"/>
    <w:rsid w:val="19A35324"/>
    <w:rsid w:val="19A42160"/>
    <w:rsid w:val="1A4B117F"/>
    <w:rsid w:val="1B087D24"/>
    <w:rsid w:val="1D4209B0"/>
    <w:rsid w:val="1D745A89"/>
    <w:rsid w:val="1E556B9E"/>
    <w:rsid w:val="1E803A9B"/>
    <w:rsid w:val="1EEA573E"/>
    <w:rsid w:val="20656392"/>
    <w:rsid w:val="20E00FD0"/>
    <w:rsid w:val="21091E3F"/>
    <w:rsid w:val="215A79E4"/>
    <w:rsid w:val="217650E5"/>
    <w:rsid w:val="21DB5FF0"/>
    <w:rsid w:val="22765C1A"/>
    <w:rsid w:val="228357EC"/>
    <w:rsid w:val="23C8319C"/>
    <w:rsid w:val="252C37DE"/>
    <w:rsid w:val="25C50504"/>
    <w:rsid w:val="2691181A"/>
    <w:rsid w:val="27E12097"/>
    <w:rsid w:val="28A9310B"/>
    <w:rsid w:val="28EA2476"/>
    <w:rsid w:val="2BA07020"/>
    <w:rsid w:val="2C706016"/>
    <w:rsid w:val="2D470656"/>
    <w:rsid w:val="2DB97690"/>
    <w:rsid w:val="312D38BF"/>
    <w:rsid w:val="31A93257"/>
    <w:rsid w:val="31DC41EC"/>
    <w:rsid w:val="323B02BB"/>
    <w:rsid w:val="34BC51A9"/>
    <w:rsid w:val="35380232"/>
    <w:rsid w:val="36461375"/>
    <w:rsid w:val="36697883"/>
    <w:rsid w:val="36BF649A"/>
    <w:rsid w:val="37EE09CA"/>
    <w:rsid w:val="387A256E"/>
    <w:rsid w:val="39054894"/>
    <w:rsid w:val="39436895"/>
    <w:rsid w:val="394E0F10"/>
    <w:rsid w:val="3B36683C"/>
    <w:rsid w:val="3B94257A"/>
    <w:rsid w:val="3C9B2B8F"/>
    <w:rsid w:val="3CA516A7"/>
    <w:rsid w:val="3CEF5448"/>
    <w:rsid w:val="3DA927DD"/>
    <w:rsid w:val="3E703177"/>
    <w:rsid w:val="3F311D25"/>
    <w:rsid w:val="3FF29D32"/>
    <w:rsid w:val="3FF62AF6"/>
    <w:rsid w:val="414041ED"/>
    <w:rsid w:val="420958E7"/>
    <w:rsid w:val="425D4AB8"/>
    <w:rsid w:val="42674393"/>
    <w:rsid w:val="43110197"/>
    <w:rsid w:val="43321E94"/>
    <w:rsid w:val="446E3D02"/>
    <w:rsid w:val="44FF4802"/>
    <w:rsid w:val="455A3683"/>
    <w:rsid w:val="45705006"/>
    <w:rsid w:val="4716689C"/>
    <w:rsid w:val="474E2C0B"/>
    <w:rsid w:val="478E15C0"/>
    <w:rsid w:val="48CA5677"/>
    <w:rsid w:val="495740A8"/>
    <w:rsid w:val="4A1B69DC"/>
    <w:rsid w:val="4A5D56A3"/>
    <w:rsid w:val="4AC9763E"/>
    <w:rsid w:val="4AE953ED"/>
    <w:rsid w:val="4B183C1B"/>
    <w:rsid w:val="4B1A19C7"/>
    <w:rsid w:val="4B737AD7"/>
    <w:rsid w:val="4BA42532"/>
    <w:rsid w:val="4BDD64FB"/>
    <w:rsid w:val="4CC77AEE"/>
    <w:rsid w:val="4E0240AC"/>
    <w:rsid w:val="4E1B0F03"/>
    <w:rsid w:val="4E1C1FB4"/>
    <w:rsid w:val="4E613DD4"/>
    <w:rsid w:val="4E945593"/>
    <w:rsid w:val="51A172CA"/>
    <w:rsid w:val="52BD204D"/>
    <w:rsid w:val="531B03D6"/>
    <w:rsid w:val="53973F5B"/>
    <w:rsid w:val="548C5862"/>
    <w:rsid w:val="54B54386"/>
    <w:rsid w:val="54DF04C5"/>
    <w:rsid w:val="54FE25D1"/>
    <w:rsid w:val="57106358"/>
    <w:rsid w:val="57E767C7"/>
    <w:rsid w:val="57FD096B"/>
    <w:rsid w:val="581A249A"/>
    <w:rsid w:val="582337C7"/>
    <w:rsid w:val="58692219"/>
    <w:rsid w:val="59BF6DFB"/>
    <w:rsid w:val="5C8A4F80"/>
    <w:rsid w:val="5CBB6CB0"/>
    <w:rsid w:val="5E561772"/>
    <w:rsid w:val="5F7F1A3F"/>
    <w:rsid w:val="605565A4"/>
    <w:rsid w:val="60BD52B7"/>
    <w:rsid w:val="614E1918"/>
    <w:rsid w:val="6186358E"/>
    <w:rsid w:val="62D93226"/>
    <w:rsid w:val="63CB072F"/>
    <w:rsid w:val="642C45FE"/>
    <w:rsid w:val="643F6069"/>
    <w:rsid w:val="65C65BF2"/>
    <w:rsid w:val="66135ED1"/>
    <w:rsid w:val="66491460"/>
    <w:rsid w:val="66620D05"/>
    <w:rsid w:val="67481A2A"/>
    <w:rsid w:val="67AB3377"/>
    <w:rsid w:val="67C563CE"/>
    <w:rsid w:val="67C6313A"/>
    <w:rsid w:val="69020CEC"/>
    <w:rsid w:val="69473047"/>
    <w:rsid w:val="69F17235"/>
    <w:rsid w:val="6A260779"/>
    <w:rsid w:val="6B627EBE"/>
    <w:rsid w:val="6BE761B6"/>
    <w:rsid w:val="6C8F6EB7"/>
    <w:rsid w:val="6D614100"/>
    <w:rsid w:val="6DBD3EC1"/>
    <w:rsid w:val="6DCA4F47"/>
    <w:rsid w:val="6DFA53E1"/>
    <w:rsid w:val="6EC55C1D"/>
    <w:rsid w:val="6F9D380B"/>
    <w:rsid w:val="70112215"/>
    <w:rsid w:val="70321063"/>
    <w:rsid w:val="706A56E0"/>
    <w:rsid w:val="706F1385"/>
    <w:rsid w:val="70EB4702"/>
    <w:rsid w:val="7161741D"/>
    <w:rsid w:val="71AA334B"/>
    <w:rsid w:val="7256409F"/>
    <w:rsid w:val="725E4165"/>
    <w:rsid w:val="72671940"/>
    <w:rsid w:val="73B93EE5"/>
    <w:rsid w:val="762D27DA"/>
    <w:rsid w:val="770D32BF"/>
    <w:rsid w:val="77B755CB"/>
    <w:rsid w:val="77F385DE"/>
    <w:rsid w:val="77FF2D1E"/>
    <w:rsid w:val="79294F92"/>
    <w:rsid w:val="79396034"/>
    <w:rsid w:val="793C1DD2"/>
    <w:rsid w:val="79BD4E89"/>
    <w:rsid w:val="79C603D1"/>
    <w:rsid w:val="7A4808E6"/>
    <w:rsid w:val="7ACA42CA"/>
    <w:rsid w:val="7C3F6017"/>
    <w:rsid w:val="7C73452B"/>
    <w:rsid w:val="7CA33E88"/>
    <w:rsid w:val="7CF759ED"/>
    <w:rsid w:val="7D80269C"/>
    <w:rsid w:val="7DFA7CBD"/>
    <w:rsid w:val="7EBE77EF"/>
    <w:rsid w:val="7F417FD4"/>
    <w:rsid w:val="7F6D3506"/>
    <w:rsid w:val="FB7E5C0B"/>
    <w:rsid w:val="FD7D1B1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3"/>
    <w:next w:val="3"/>
    <w:qFormat/>
    <w:uiPriority w:val="0"/>
    <w:pPr>
      <w:widowControl/>
      <w:spacing w:after="120" w:line="276" w:lineRule="auto"/>
      <w:jc w:val="left"/>
    </w:pPr>
    <w:rPr>
      <w:rFonts w:ascii="Calibri" w:hAnsi="Calibri" w:cs="Times New Roman"/>
      <w:kern w:val="0"/>
      <w:sz w:val="22"/>
      <w:lang w:val="zh-CN" w:eastAsia="en-US" w:bidi="en-US"/>
    </w:rPr>
  </w:style>
  <w:style w:type="paragraph" w:styleId="3">
    <w:name w:val="Title"/>
    <w:basedOn w:val="1"/>
    <w:next w:val="1"/>
    <w:qFormat/>
    <w:uiPriority w:val="0"/>
    <w:pPr>
      <w:spacing w:before="240" w:after="60"/>
      <w:jc w:val="center"/>
      <w:outlineLvl w:val="0"/>
    </w:pPr>
    <w:rPr>
      <w:rFonts w:ascii="Arial" w:hAnsi="Arial" w:cs="Arial"/>
      <w:b/>
      <w:bCs/>
      <w:sz w:val="32"/>
      <w:szCs w:val="32"/>
    </w:rPr>
  </w:style>
  <w:style w:type="paragraph" w:styleId="4">
    <w:name w:val="Normal Indent"/>
    <w:basedOn w:val="1"/>
    <w:next w:val="1"/>
    <w:unhideWhenUsed/>
    <w:qFormat/>
    <w:uiPriority w:val="99"/>
    <w:pPr>
      <w:ind w:firstLine="420" w:firstLineChars="200"/>
    </w:pPr>
    <w:rPr>
      <w:rFonts w:eastAsia="方正仿宋_GBK" w:asciiTheme="minorHAnsi" w:hAnsiTheme="minorHAnsi" w:cstheme="minorBidi"/>
    </w:rPr>
  </w:style>
  <w:style w:type="paragraph" w:styleId="5">
    <w:name w:val="annotation text"/>
    <w:basedOn w:val="1"/>
    <w:qFormat/>
    <w:uiPriority w:val="0"/>
    <w:pPr>
      <w:jc w:val="left"/>
    </w:pPr>
  </w:style>
  <w:style w:type="paragraph" w:styleId="6">
    <w:name w:val="footer"/>
    <w:basedOn w:val="1"/>
    <w:link w:val="22"/>
    <w:qFormat/>
    <w:uiPriority w:val="0"/>
    <w:pPr>
      <w:tabs>
        <w:tab w:val="center" w:pos="4153"/>
        <w:tab w:val="right" w:pos="8306"/>
      </w:tabs>
      <w:snapToGrid w:val="0"/>
      <w:jc w:val="left"/>
    </w:pPr>
    <w:rPr>
      <w:sz w:val="18"/>
      <w:szCs w:val="18"/>
    </w:rPr>
  </w:style>
  <w:style w:type="paragraph" w:styleId="7">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character" w:styleId="10">
    <w:name w:val="annotation reference"/>
    <w:basedOn w:val="9"/>
    <w:qFormat/>
    <w:uiPriority w:val="0"/>
    <w:rPr>
      <w:sz w:val="21"/>
      <w:szCs w:val="21"/>
    </w:rPr>
  </w:style>
  <w:style w:type="paragraph" w:customStyle="1" w:styleId="11">
    <w:name w:val="Char5"/>
    <w:basedOn w:val="1"/>
    <w:qFormat/>
    <w:uiPriority w:val="0"/>
    <w:rPr>
      <w:szCs w:val="20"/>
    </w:rPr>
  </w:style>
  <w:style w:type="paragraph" w:customStyle="1" w:styleId="12">
    <w:name w:val="d1"/>
    <w:basedOn w:val="1"/>
    <w:qFormat/>
    <w:uiPriority w:val="0"/>
    <w:pPr>
      <w:topLinePunct/>
      <w:adjustRightInd w:val="0"/>
      <w:spacing w:beforeLines="150"/>
      <w:jc w:val="center"/>
    </w:pPr>
    <w:rPr>
      <w:rFonts w:ascii="方正小标宋_GBK" w:hAnsi="宋体" w:eastAsia="方正小标宋_GBK" w:cs="宋体"/>
      <w:color w:val="000000"/>
      <w:kern w:val="21"/>
      <w:sz w:val="32"/>
      <w:szCs w:val="32"/>
    </w:rPr>
  </w:style>
  <w:style w:type="character" w:customStyle="1" w:styleId="13">
    <w:name w:val="d2 Char"/>
    <w:basedOn w:val="9"/>
    <w:link w:val="14"/>
    <w:qFormat/>
    <w:uiPriority w:val="0"/>
    <w:rPr>
      <w:rFonts w:eastAsia="楷体_GB2312"/>
      <w:color w:val="000000"/>
      <w:kern w:val="21"/>
      <w:sz w:val="24"/>
    </w:rPr>
  </w:style>
  <w:style w:type="paragraph" w:customStyle="1" w:styleId="14">
    <w:name w:val="d2"/>
    <w:basedOn w:val="1"/>
    <w:link w:val="13"/>
    <w:qFormat/>
    <w:uiPriority w:val="0"/>
    <w:pPr>
      <w:topLinePunct/>
      <w:adjustRightInd w:val="0"/>
      <w:spacing w:afterLines="150"/>
      <w:jc w:val="center"/>
    </w:pPr>
    <w:rPr>
      <w:rFonts w:eastAsia="楷体_GB2312"/>
      <w:color w:val="000000"/>
      <w:kern w:val="21"/>
      <w:sz w:val="24"/>
    </w:rPr>
  </w:style>
  <w:style w:type="paragraph" w:customStyle="1" w:styleId="15">
    <w:name w:val="fj"/>
    <w:basedOn w:val="16"/>
    <w:qFormat/>
    <w:uiPriority w:val="0"/>
    <w:pPr>
      <w:spacing w:afterLines="0" w:line="720" w:lineRule="auto"/>
      <w:ind w:firstLine="0" w:firstLineChars="0"/>
    </w:pPr>
    <w:rPr>
      <w:rFonts w:eastAsia="仿宋_GB2312"/>
      <w:sz w:val="28"/>
      <w:szCs w:val="28"/>
    </w:rPr>
  </w:style>
  <w:style w:type="paragraph" w:customStyle="1" w:styleId="16">
    <w:name w:val="d22"/>
    <w:basedOn w:val="14"/>
    <w:qFormat/>
    <w:uiPriority w:val="0"/>
    <w:pPr>
      <w:spacing w:after="150" w:line="288" w:lineRule="auto"/>
      <w:ind w:firstLine="200" w:firstLineChars="200"/>
      <w:jc w:val="both"/>
    </w:pPr>
    <w:rPr>
      <w:kern w:val="24"/>
    </w:rPr>
  </w:style>
  <w:style w:type="paragraph" w:customStyle="1" w:styleId="17">
    <w:name w:val="h1"/>
    <w:basedOn w:val="1"/>
    <w:qFormat/>
    <w:uiPriority w:val="0"/>
    <w:pPr>
      <w:topLinePunct/>
      <w:adjustRightInd w:val="0"/>
      <w:spacing w:beforeLines="50"/>
      <w:jc w:val="center"/>
    </w:pPr>
    <w:rPr>
      <w:rFonts w:ascii="黑体" w:eastAsia="黑体"/>
      <w:color w:val="000000"/>
      <w:kern w:val="21"/>
      <w:sz w:val="28"/>
      <w:szCs w:val="28"/>
    </w:rPr>
  </w:style>
  <w:style w:type="paragraph" w:customStyle="1" w:styleId="18">
    <w:name w:val="h2"/>
    <w:basedOn w:val="19"/>
    <w:qFormat/>
    <w:uiPriority w:val="0"/>
    <w:pPr>
      <w:spacing w:line="480" w:lineRule="auto"/>
      <w:ind w:firstLine="0" w:firstLineChars="0"/>
      <w:jc w:val="center"/>
    </w:pPr>
    <w:rPr>
      <w:rFonts w:ascii="黑体" w:eastAsia="黑体"/>
      <w:sz w:val="24"/>
      <w:szCs w:val="24"/>
    </w:rPr>
  </w:style>
  <w:style w:type="paragraph" w:customStyle="1" w:styleId="19">
    <w:name w:val="d3"/>
    <w:basedOn w:val="20"/>
    <w:qFormat/>
    <w:uiPriority w:val="0"/>
  </w:style>
  <w:style w:type="paragraph" w:customStyle="1" w:styleId="20">
    <w:name w:val="d5"/>
    <w:basedOn w:val="1"/>
    <w:qFormat/>
    <w:uiPriority w:val="0"/>
    <w:pPr>
      <w:topLinePunct/>
      <w:adjustRightInd w:val="0"/>
      <w:ind w:firstLine="420" w:firstLineChars="200"/>
    </w:pPr>
    <w:rPr>
      <w:color w:val="000000"/>
      <w:kern w:val="21"/>
      <w:szCs w:val="21"/>
    </w:rPr>
  </w:style>
  <w:style w:type="character" w:customStyle="1" w:styleId="21">
    <w:name w:val="页眉 字符"/>
    <w:basedOn w:val="9"/>
    <w:link w:val="7"/>
    <w:qFormat/>
    <w:uiPriority w:val="0"/>
    <w:rPr>
      <w:kern w:val="2"/>
      <w:sz w:val="18"/>
      <w:szCs w:val="18"/>
    </w:rPr>
  </w:style>
  <w:style w:type="character" w:customStyle="1" w:styleId="22">
    <w:name w:val="页脚 字符"/>
    <w:basedOn w:val="9"/>
    <w:link w:val="6"/>
    <w:qFormat/>
    <w:uiPriority w:val="0"/>
    <w:rPr>
      <w:kern w:val="2"/>
      <w:sz w:val="18"/>
      <w:szCs w:val="18"/>
    </w:rPr>
  </w:style>
  <w:style w:type="character" w:customStyle="1" w:styleId="23">
    <w:name w:val="标准正文"/>
    <w:basedOn w:val="9"/>
    <w:qFormat/>
    <w:uiPriority w:val="0"/>
    <w:rPr>
      <w:rFonts w:ascii="微软雅黑" w:hAnsi="微软雅黑" w:eastAsia="方正仿宋_GBK" w:cs="微软雅黑"/>
      <w:color w:val="000000"/>
      <w:sz w:val="32"/>
      <w:szCs w:val="40"/>
    </w:rPr>
  </w:style>
  <w:style w:type="paragraph" w:customStyle="1" w:styleId="24">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5">
    <w:name w:val="修订2"/>
    <w:hidden/>
    <w:unhideWhenUsed/>
    <w:qFormat/>
    <w:uiPriority w:val="99"/>
    <w:rPr>
      <w:rFonts w:ascii="Times New Roman" w:hAnsi="Times New Roman" w:eastAsia="宋体" w:cs="Times New Roman"/>
      <w:kern w:val="2"/>
      <w:sz w:val="21"/>
      <w:szCs w:val="24"/>
      <w:lang w:val="en-US" w:eastAsia="zh-CN" w:bidi="ar-SA"/>
    </w:rPr>
  </w:style>
  <w:style w:type="paragraph" w:customStyle="1" w:styleId="26">
    <w:name w:val="修订3"/>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627</Words>
  <Characters>3579</Characters>
  <Lines>29</Lines>
  <Paragraphs>8</Paragraphs>
  <TotalTime>8</TotalTime>
  <ScaleCrop>false</ScaleCrop>
  <LinksUpToDate>false</LinksUpToDate>
  <CharactersWithSpaces>4198</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2024-07-23T15:35:00Z</dcterms:created>
  <dc:creator>admin</dc:creator>
  <cp:lastModifiedBy>lynn</cp:lastModifiedBy>
  <cp:lastPrinted>2024-06-25T12:06:00Z</cp:lastPrinted>
  <dcterms:modified xsi:type="dcterms:W3CDTF">2024-07-24T03:33:14Z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EC50F8E8EF1A4CCDAFBF25B76F803C99</vt:lpwstr>
  </property>
</Properties>
</file>